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49" w:rsidRPr="00F4760D" w:rsidRDefault="00281F49" w:rsidP="00CF42E9">
      <w:pPr>
        <w:spacing w:after="0"/>
        <w:ind w:left="0"/>
        <w:jc w:val="center"/>
        <w:rPr>
          <w:b/>
          <w:lang w:val="ro-RO"/>
        </w:rPr>
      </w:pPr>
      <w:r w:rsidRPr="00F4760D">
        <w:rPr>
          <w:b/>
          <w:lang w:val="ro-RO"/>
        </w:rPr>
        <w:t>ORDIN</w:t>
      </w:r>
    </w:p>
    <w:p w:rsidR="00281F49" w:rsidRPr="00F4760D" w:rsidRDefault="00281F49" w:rsidP="00CF42E9">
      <w:pPr>
        <w:spacing w:after="0"/>
        <w:ind w:left="0"/>
        <w:jc w:val="center"/>
        <w:rPr>
          <w:b/>
          <w:lang w:val="ro-RO"/>
        </w:rPr>
      </w:pPr>
      <w:r w:rsidRPr="00F4760D">
        <w:rPr>
          <w:b/>
          <w:lang w:val="ro-RO"/>
        </w:rPr>
        <w:t>Nr. ________________</w:t>
      </w:r>
    </w:p>
    <w:p w:rsidR="00227D91" w:rsidRPr="00F4760D" w:rsidRDefault="00227D91" w:rsidP="00CF42E9">
      <w:pPr>
        <w:spacing w:after="0"/>
        <w:ind w:left="0"/>
        <w:jc w:val="center"/>
        <w:rPr>
          <w:b/>
          <w:sz w:val="24"/>
          <w:szCs w:val="24"/>
          <w:u w:val="single"/>
          <w:lang w:val="ro-RO"/>
        </w:rPr>
      </w:pPr>
    </w:p>
    <w:p w:rsidR="000E1D41" w:rsidRPr="00F4760D" w:rsidRDefault="00F236FC" w:rsidP="00CF42E9">
      <w:pPr>
        <w:spacing w:after="0"/>
        <w:ind w:left="0"/>
        <w:jc w:val="center"/>
        <w:rPr>
          <w:b/>
          <w:lang w:val="ro-RO"/>
        </w:rPr>
      </w:pPr>
      <w:r w:rsidRPr="00F4760D">
        <w:rPr>
          <w:b/>
          <w:lang w:val="ro-RO"/>
        </w:rPr>
        <w:t xml:space="preserve">pentru </w:t>
      </w:r>
      <w:r w:rsidR="00AC6202" w:rsidRPr="00F4760D">
        <w:rPr>
          <w:b/>
          <w:lang w:val="ro-RO"/>
        </w:rPr>
        <w:t xml:space="preserve">modificarea şi </w:t>
      </w:r>
      <w:r w:rsidRPr="00F4760D">
        <w:rPr>
          <w:b/>
          <w:lang w:val="ro-RO"/>
        </w:rPr>
        <w:t xml:space="preserve">completarea </w:t>
      </w:r>
      <w:r w:rsidR="000E1D41" w:rsidRPr="00F4760D">
        <w:rPr>
          <w:b/>
          <w:lang w:val="ro-RO"/>
        </w:rPr>
        <w:t>r</w:t>
      </w:r>
      <w:r w:rsidR="00284D1F" w:rsidRPr="00F4760D">
        <w:rPr>
          <w:b/>
          <w:lang w:val="ro-RO"/>
        </w:rPr>
        <w:t xml:space="preserve">eglementării tehnice </w:t>
      </w:r>
    </w:p>
    <w:p w:rsidR="00803D9D" w:rsidRPr="00F4760D" w:rsidRDefault="00803D9D" w:rsidP="00CF42E9">
      <w:pPr>
        <w:spacing w:after="0"/>
        <w:ind w:left="0"/>
        <w:jc w:val="center"/>
        <w:rPr>
          <w:b/>
          <w:lang w:val="ro-RO"/>
        </w:rPr>
      </w:pPr>
      <w:r w:rsidRPr="00F4760D">
        <w:rPr>
          <w:b/>
          <w:lang w:val="ro-RO"/>
        </w:rPr>
        <w:t>„</w:t>
      </w:r>
      <w:r w:rsidR="00DC24A4" w:rsidRPr="00F4760D">
        <w:rPr>
          <w:b/>
          <w:lang w:val="ro-RO"/>
        </w:rPr>
        <w:t xml:space="preserve">Normativ </w:t>
      </w:r>
      <w:r w:rsidR="00FA4648" w:rsidRPr="00F4760D">
        <w:rPr>
          <w:b/>
          <w:lang w:val="ro-RO"/>
        </w:rPr>
        <w:t>privind securitatea la incendiu a construcţiilor, Partea a II</w:t>
      </w:r>
      <w:r w:rsidR="00FB30ED" w:rsidRPr="00F4760D">
        <w:rPr>
          <w:b/>
          <w:lang w:val="ro-RO"/>
        </w:rPr>
        <w:t>I</w:t>
      </w:r>
      <w:r w:rsidR="00FA4648" w:rsidRPr="00F4760D">
        <w:rPr>
          <w:b/>
          <w:lang w:val="ro-RO"/>
        </w:rPr>
        <w:t xml:space="preserve">-a - Instalaţii de </w:t>
      </w:r>
      <w:r w:rsidR="00FB30ED" w:rsidRPr="00F4760D">
        <w:rPr>
          <w:b/>
          <w:lang w:val="ro-RO"/>
        </w:rPr>
        <w:t xml:space="preserve">detectare, semnalizare şi avertizare </w:t>
      </w:r>
      <w:r w:rsidR="00FA4648" w:rsidRPr="00F4760D">
        <w:rPr>
          <w:b/>
          <w:lang w:val="ro-RO"/>
        </w:rPr>
        <w:t>",</w:t>
      </w:r>
      <w:r w:rsidR="00897046" w:rsidRPr="00F4760D">
        <w:rPr>
          <w:b/>
          <w:lang w:val="ro-RO"/>
        </w:rPr>
        <w:t xml:space="preserve"> </w:t>
      </w:r>
      <w:r w:rsidR="00FA4648" w:rsidRPr="00F4760D">
        <w:rPr>
          <w:b/>
          <w:lang w:val="ro-RO"/>
        </w:rPr>
        <w:t xml:space="preserve">indicativ </w:t>
      </w:r>
      <w:r w:rsidR="0068004B" w:rsidRPr="00F4760D">
        <w:rPr>
          <w:b/>
          <w:lang w:val="ro-RO"/>
        </w:rPr>
        <w:t xml:space="preserve">P </w:t>
      </w:r>
      <w:r w:rsidR="00FB30ED" w:rsidRPr="00F4760D">
        <w:rPr>
          <w:b/>
          <w:lang w:val="ro-RO"/>
        </w:rPr>
        <w:t>118/3</w:t>
      </w:r>
      <w:r w:rsidR="0090586D" w:rsidRPr="00F4760D">
        <w:rPr>
          <w:b/>
          <w:lang w:val="ro-RO"/>
        </w:rPr>
        <w:t>-2015</w:t>
      </w:r>
      <w:r w:rsidR="0068004B" w:rsidRPr="00F4760D">
        <w:rPr>
          <w:b/>
          <w:lang w:val="ro-RO"/>
        </w:rPr>
        <w:t xml:space="preserve">, </w:t>
      </w:r>
      <w:r w:rsidR="00897046" w:rsidRPr="00F4760D">
        <w:rPr>
          <w:b/>
          <w:lang w:val="ro-RO"/>
        </w:rPr>
        <w:t xml:space="preserve">aprobată prin Ordinul ministrului dezvoltării regionale şi </w:t>
      </w:r>
      <w:r w:rsidR="00DC24A4" w:rsidRPr="00F4760D">
        <w:rPr>
          <w:b/>
          <w:lang w:val="ro-RO"/>
        </w:rPr>
        <w:t>administraţiei publice</w:t>
      </w:r>
      <w:r w:rsidR="00897046" w:rsidRPr="00F4760D">
        <w:rPr>
          <w:b/>
          <w:lang w:val="ro-RO"/>
        </w:rPr>
        <w:t xml:space="preserve"> nr. </w:t>
      </w:r>
      <w:r w:rsidR="0090586D" w:rsidRPr="00F4760D">
        <w:rPr>
          <w:b/>
          <w:lang w:val="ro-RO"/>
        </w:rPr>
        <w:t>364/2015</w:t>
      </w:r>
    </w:p>
    <w:p w:rsidR="00A919C1" w:rsidRPr="00F4760D" w:rsidRDefault="00A919C1" w:rsidP="00CF42E9">
      <w:pPr>
        <w:spacing w:after="0"/>
        <w:ind w:left="0"/>
        <w:jc w:val="center"/>
        <w:rPr>
          <w:sz w:val="24"/>
          <w:szCs w:val="24"/>
          <w:lang w:val="ro-RO"/>
        </w:rPr>
      </w:pPr>
    </w:p>
    <w:p w:rsidR="00CF42E9" w:rsidRPr="00F4760D" w:rsidRDefault="00CF42E9" w:rsidP="00CF42E9">
      <w:pPr>
        <w:spacing w:after="0"/>
        <w:ind w:left="0"/>
        <w:jc w:val="center"/>
        <w:rPr>
          <w:sz w:val="24"/>
          <w:szCs w:val="24"/>
          <w:lang w:val="ro-RO"/>
        </w:rPr>
      </w:pPr>
    </w:p>
    <w:p w:rsidR="00FD76F1" w:rsidRPr="000E2A52" w:rsidRDefault="00FD76F1" w:rsidP="00FD76F1">
      <w:pPr>
        <w:pStyle w:val="BodyTextIndent"/>
        <w:spacing w:line="240" w:lineRule="auto"/>
        <w:ind w:left="0" w:right="6" w:firstLine="567"/>
        <w:rPr>
          <w:rFonts w:cs="Calibri"/>
          <w:lang w:val="ro-RO"/>
        </w:rPr>
      </w:pPr>
      <w:r w:rsidRPr="000E2A52">
        <w:rPr>
          <w:rFonts w:cs="Calibri"/>
          <w:lang w:val="ro-RO"/>
        </w:rPr>
        <w:t>În conformitate cu prevederile art. 2 alin. (2) şi alin. (3) din Regulamentul privind activitatea de reglementare în construcții și categoriile de cheltuieli aferente aprobat prin Hotărârea Guvernului nr. 203/2003 pentru aprobarea Regulamentului privind activitatea de reglementare în construcții și categoriile de cheltuieli aferente, cu modificările şi completările ulterioare</w:t>
      </w:r>
      <w:r w:rsidRPr="000E2A52">
        <w:rPr>
          <w:lang w:val="ro-RO"/>
        </w:rPr>
        <w:t>,</w:t>
      </w:r>
    </w:p>
    <w:p w:rsidR="00FD76F1" w:rsidRPr="0060536E" w:rsidRDefault="00FD76F1" w:rsidP="00FD76F1">
      <w:pPr>
        <w:spacing w:line="240" w:lineRule="auto"/>
        <w:ind w:left="0" w:firstLine="567"/>
        <w:rPr>
          <w:lang w:val="ro-RO"/>
        </w:rPr>
      </w:pPr>
      <w:r w:rsidRPr="000E2A52">
        <w:rPr>
          <w:lang w:val="ro-RO"/>
        </w:rPr>
        <w:t>în temeiul prevederilor art. 10 din Legea nr. 10/1995 privind calitatea în construcţii, republicată, şi ale art. 5 pct. 31 şi art. 12 alin. (6) din Hotărârea Guvernului nr. 51/2018 privind organizarea şi funcţionarea Ministerului Dezvoltării Regionale şi Administraţiei Publice, cu modificările şi completările ulterioare,</w:t>
      </w:r>
    </w:p>
    <w:p w:rsidR="00494022" w:rsidRPr="00F4760D" w:rsidRDefault="00494022" w:rsidP="00CF42E9">
      <w:pPr>
        <w:spacing w:after="0"/>
        <w:ind w:left="0"/>
        <w:rPr>
          <w:lang w:val="ro-RO"/>
        </w:rPr>
      </w:pPr>
    </w:p>
    <w:p w:rsidR="00F23A5F" w:rsidRPr="00F4760D" w:rsidRDefault="00F23A5F" w:rsidP="00CF42E9">
      <w:pPr>
        <w:spacing w:after="0"/>
        <w:ind w:left="0" w:right="-143"/>
        <w:jc w:val="center"/>
        <w:rPr>
          <w:b/>
          <w:lang w:val="ro-RO"/>
        </w:rPr>
      </w:pPr>
      <w:r w:rsidRPr="00F4760D">
        <w:rPr>
          <w:b/>
          <w:lang w:val="ro-RO"/>
        </w:rPr>
        <w:t>viceprim-ministru, ministrul dezvoltării regionale şi administraţiei publice emite prezentul ordin:</w:t>
      </w:r>
    </w:p>
    <w:p w:rsidR="00A919C1" w:rsidRPr="00F4760D" w:rsidRDefault="00A919C1" w:rsidP="00CF42E9">
      <w:pPr>
        <w:pStyle w:val="NoSpacing"/>
        <w:spacing w:line="276" w:lineRule="auto"/>
        <w:jc w:val="both"/>
        <w:rPr>
          <w:rFonts w:ascii="Trebuchet MS" w:hAnsi="Trebuchet MS" w:cs="Calibri"/>
          <w:b/>
          <w:sz w:val="24"/>
          <w:szCs w:val="24"/>
        </w:rPr>
      </w:pPr>
    </w:p>
    <w:p w:rsidR="00A919C1" w:rsidRPr="00F4760D" w:rsidRDefault="00A919C1" w:rsidP="00CF42E9">
      <w:pPr>
        <w:pStyle w:val="NoSpacing"/>
        <w:spacing w:line="276" w:lineRule="auto"/>
        <w:jc w:val="both"/>
        <w:rPr>
          <w:rFonts w:ascii="Trebuchet MS" w:hAnsi="Trebuchet MS" w:cs="Calibri"/>
          <w:b/>
          <w:sz w:val="24"/>
          <w:szCs w:val="24"/>
        </w:rPr>
      </w:pPr>
    </w:p>
    <w:p w:rsidR="00796BFA" w:rsidRPr="00F4760D" w:rsidRDefault="00796BFA" w:rsidP="00CF42E9">
      <w:pPr>
        <w:pStyle w:val="BodyText2"/>
        <w:spacing w:line="276" w:lineRule="auto"/>
        <w:ind w:firstLine="567"/>
        <w:jc w:val="both"/>
        <w:rPr>
          <w:rStyle w:val="rvts8"/>
          <w:rFonts w:ascii="Trebuchet MS" w:hAnsi="Trebuchet MS"/>
          <w:b w:val="0"/>
          <w:sz w:val="22"/>
          <w:szCs w:val="22"/>
        </w:rPr>
      </w:pPr>
      <w:r w:rsidRPr="00F4760D">
        <w:rPr>
          <w:rFonts w:ascii="Trebuchet MS" w:hAnsi="Trebuchet MS"/>
          <w:bCs w:val="0"/>
          <w:sz w:val="22"/>
          <w:szCs w:val="22"/>
        </w:rPr>
        <w:t>Art. I.</w:t>
      </w:r>
      <w:r w:rsidRPr="00F4760D">
        <w:rPr>
          <w:rFonts w:ascii="Trebuchet MS" w:hAnsi="Trebuchet MS"/>
          <w:sz w:val="22"/>
          <w:szCs w:val="22"/>
        </w:rPr>
        <w:t xml:space="preserve"> – </w:t>
      </w:r>
      <w:r w:rsidRPr="00F4760D">
        <w:rPr>
          <w:rFonts w:ascii="Trebuchet MS" w:hAnsi="Trebuchet MS"/>
          <w:b w:val="0"/>
          <w:sz w:val="22"/>
          <w:szCs w:val="22"/>
        </w:rPr>
        <w:t>Reglementarea tehnică „</w:t>
      </w:r>
      <w:r w:rsidR="00FA4648" w:rsidRPr="00F4760D">
        <w:rPr>
          <w:rFonts w:ascii="Trebuchet MS" w:hAnsi="Trebuchet MS"/>
          <w:b w:val="0"/>
          <w:sz w:val="22"/>
          <w:szCs w:val="22"/>
        </w:rPr>
        <w:t xml:space="preserve">Normativ privind securitatea la incendiu a construcţiilor, Partea a </w:t>
      </w:r>
      <w:r w:rsidR="00DC7926" w:rsidRPr="00F4760D">
        <w:rPr>
          <w:rFonts w:ascii="Trebuchet MS" w:hAnsi="Trebuchet MS"/>
          <w:b w:val="0"/>
          <w:sz w:val="22"/>
          <w:szCs w:val="22"/>
        </w:rPr>
        <w:t>III-</w:t>
      </w:r>
      <w:r w:rsidR="00DC7926" w:rsidRPr="000E2A52">
        <w:rPr>
          <w:rFonts w:ascii="Trebuchet MS" w:hAnsi="Trebuchet MS"/>
          <w:b w:val="0"/>
          <w:sz w:val="22"/>
          <w:szCs w:val="22"/>
        </w:rPr>
        <w:t>a -</w:t>
      </w:r>
      <w:r w:rsidR="00DC7926" w:rsidRPr="000E2A52">
        <w:rPr>
          <w:rFonts w:ascii="Trebuchet MS" w:hAnsi="Trebuchet MS"/>
          <w:sz w:val="22"/>
          <w:szCs w:val="22"/>
        </w:rPr>
        <w:t xml:space="preserve"> </w:t>
      </w:r>
      <w:r w:rsidR="00DC7926" w:rsidRPr="000E2A52">
        <w:rPr>
          <w:rFonts w:ascii="Trebuchet MS" w:hAnsi="Trebuchet MS"/>
          <w:b w:val="0"/>
          <w:sz w:val="22"/>
          <w:szCs w:val="22"/>
        </w:rPr>
        <w:t>Instalaţii de detectare, semnalizare şi avertizare</w:t>
      </w:r>
      <w:r w:rsidR="00FA4648" w:rsidRPr="000E2A52">
        <w:rPr>
          <w:rFonts w:ascii="Trebuchet MS" w:hAnsi="Trebuchet MS"/>
          <w:b w:val="0"/>
          <w:sz w:val="22"/>
          <w:szCs w:val="22"/>
        </w:rPr>
        <w:t xml:space="preserve">", indicativ P </w:t>
      </w:r>
      <w:r w:rsidR="00FB30ED" w:rsidRPr="000E2A52">
        <w:rPr>
          <w:rFonts w:ascii="Trebuchet MS" w:hAnsi="Trebuchet MS"/>
          <w:b w:val="0"/>
          <w:sz w:val="22"/>
          <w:szCs w:val="22"/>
        </w:rPr>
        <w:t>118/3</w:t>
      </w:r>
      <w:r w:rsidR="0090586D" w:rsidRPr="000E2A52">
        <w:rPr>
          <w:rFonts w:ascii="Trebuchet MS" w:hAnsi="Trebuchet MS"/>
          <w:b w:val="0"/>
          <w:sz w:val="22"/>
          <w:szCs w:val="22"/>
        </w:rPr>
        <w:t>-2015</w:t>
      </w:r>
      <w:r w:rsidR="00FA4648" w:rsidRPr="000E2A52">
        <w:rPr>
          <w:rFonts w:ascii="Trebuchet MS" w:hAnsi="Trebuchet MS"/>
          <w:b w:val="0"/>
          <w:sz w:val="22"/>
          <w:szCs w:val="22"/>
        </w:rPr>
        <w:t>, aprobată prin Ordinul</w:t>
      </w:r>
      <w:r w:rsidR="00FD76F1" w:rsidRPr="000E2A52">
        <w:rPr>
          <w:rFonts w:ascii="Trebuchet MS" w:hAnsi="Trebuchet MS"/>
          <w:b w:val="0"/>
          <w:sz w:val="22"/>
          <w:szCs w:val="22"/>
        </w:rPr>
        <w:t xml:space="preserve"> viceprim-ministrului, ministrul</w:t>
      </w:r>
      <w:r w:rsidR="00FA4648" w:rsidRPr="00F4760D">
        <w:rPr>
          <w:rFonts w:ascii="Trebuchet MS" w:hAnsi="Trebuchet MS"/>
          <w:b w:val="0"/>
          <w:sz w:val="22"/>
          <w:szCs w:val="22"/>
        </w:rPr>
        <w:t xml:space="preserve"> dezvoltării regionale şi administraţiei publice nr. </w:t>
      </w:r>
      <w:r w:rsidR="0090586D" w:rsidRPr="00F4760D">
        <w:rPr>
          <w:rFonts w:ascii="Trebuchet MS" w:hAnsi="Trebuchet MS"/>
          <w:b w:val="0"/>
          <w:sz w:val="22"/>
          <w:szCs w:val="22"/>
        </w:rPr>
        <w:t>364/2015</w:t>
      </w:r>
      <w:r w:rsidRPr="00F4760D">
        <w:rPr>
          <w:rFonts w:ascii="Trebuchet MS" w:hAnsi="Trebuchet MS"/>
          <w:b w:val="0"/>
          <w:sz w:val="22"/>
          <w:szCs w:val="22"/>
        </w:rPr>
        <w:t xml:space="preserve">, publicat în Monitorul Oficial al României, Partea I nr. </w:t>
      </w:r>
      <w:r w:rsidR="0090586D" w:rsidRPr="00F4760D">
        <w:rPr>
          <w:rFonts w:ascii="Trebuchet MS" w:hAnsi="Trebuchet MS"/>
          <w:b w:val="0"/>
          <w:sz w:val="22"/>
          <w:szCs w:val="22"/>
        </w:rPr>
        <w:t>243</w:t>
      </w:r>
      <w:r w:rsidR="00A919C1" w:rsidRPr="00F4760D">
        <w:rPr>
          <w:rFonts w:ascii="Trebuchet MS" w:hAnsi="Trebuchet MS"/>
          <w:b w:val="0"/>
          <w:sz w:val="22"/>
          <w:szCs w:val="22"/>
        </w:rPr>
        <w:t xml:space="preserve"> şi </w:t>
      </w:r>
      <w:r w:rsidR="0090586D" w:rsidRPr="00F4760D">
        <w:rPr>
          <w:rFonts w:ascii="Trebuchet MS" w:hAnsi="Trebuchet MS"/>
          <w:b w:val="0"/>
          <w:sz w:val="22"/>
          <w:szCs w:val="22"/>
        </w:rPr>
        <w:t>243</w:t>
      </w:r>
      <w:r w:rsidR="00A919C1" w:rsidRPr="00F4760D">
        <w:rPr>
          <w:rFonts w:ascii="Trebuchet MS" w:hAnsi="Trebuchet MS"/>
          <w:b w:val="0"/>
          <w:sz w:val="22"/>
          <w:szCs w:val="22"/>
        </w:rPr>
        <w:t xml:space="preserve"> bis din</w:t>
      </w:r>
      <w:r w:rsidRPr="00F4760D">
        <w:t xml:space="preserve"> </w:t>
      </w:r>
      <w:r w:rsidR="0090586D" w:rsidRPr="00F4760D">
        <w:rPr>
          <w:rFonts w:ascii="Trebuchet MS" w:hAnsi="Trebuchet MS"/>
          <w:b w:val="0"/>
          <w:sz w:val="22"/>
          <w:szCs w:val="22"/>
        </w:rPr>
        <w:t>09</w:t>
      </w:r>
      <w:r w:rsidR="00DC24A4" w:rsidRPr="00F4760D">
        <w:rPr>
          <w:rFonts w:ascii="Trebuchet MS" w:hAnsi="Trebuchet MS"/>
          <w:b w:val="0"/>
          <w:sz w:val="22"/>
          <w:szCs w:val="22"/>
        </w:rPr>
        <w:t xml:space="preserve"> </w:t>
      </w:r>
      <w:r w:rsidR="0090586D" w:rsidRPr="00F4760D">
        <w:rPr>
          <w:rFonts w:ascii="Trebuchet MS" w:hAnsi="Trebuchet MS"/>
          <w:b w:val="0"/>
          <w:sz w:val="22"/>
          <w:szCs w:val="22"/>
        </w:rPr>
        <w:t>aprilie</w:t>
      </w:r>
      <w:r w:rsidR="0090586D" w:rsidRPr="00F4760D">
        <w:rPr>
          <w:rStyle w:val="rvts8"/>
          <w:rFonts w:ascii="Trebuchet MS" w:hAnsi="Trebuchet MS"/>
          <w:b w:val="0"/>
          <w:sz w:val="22"/>
          <w:szCs w:val="22"/>
        </w:rPr>
        <w:t xml:space="preserve"> 2015</w:t>
      </w:r>
      <w:r w:rsidRPr="00F4760D">
        <w:rPr>
          <w:rStyle w:val="rvts8"/>
          <w:rFonts w:ascii="Trebuchet MS" w:hAnsi="Trebuchet MS"/>
          <w:b w:val="0"/>
          <w:sz w:val="22"/>
          <w:szCs w:val="22"/>
        </w:rPr>
        <w:t>, se modifică şi se completează, după cum urmează:</w:t>
      </w:r>
    </w:p>
    <w:p w:rsidR="00AC427C" w:rsidRPr="00F4760D" w:rsidRDefault="00AC427C" w:rsidP="001453AE">
      <w:pPr>
        <w:pStyle w:val="BodyText2"/>
        <w:ind w:firstLine="567"/>
        <w:jc w:val="both"/>
        <w:rPr>
          <w:rStyle w:val="rvts8"/>
          <w:rFonts w:ascii="Trebuchet MS" w:hAnsi="Trebuchet MS"/>
          <w:b w:val="0"/>
          <w:sz w:val="22"/>
          <w:szCs w:val="22"/>
        </w:rPr>
      </w:pPr>
    </w:p>
    <w:p w:rsidR="00FB30ED" w:rsidRPr="00F4760D" w:rsidRDefault="001A1A93" w:rsidP="0090586D">
      <w:pPr>
        <w:pStyle w:val="ListParagraph"/>
        <w:numPr>
          <w:ilvl w:val="0"/>
          <w:numId w:val="2"/>
        </w:numPr>
        <w:spacing w:after="0"/>
        <w:ind w:left="924" w:hanging="357"/>
        <w:rPr>
          <w:b/>
          <w:bCs/>
          <w:lang w:val="ro-RO"/>
        </w:rPr>
      </w:pPr>
      <w:r>
        <w:rPr>
          <w:b/>
          <w:bCs/>
          <w:lang w:val="ro-RO"/>
        </w:rPr>
        <w:t>Punctul</w:t>
      </w:r>
      <w:r w:rsidR="0090586D" w:rsidRPr="00F4760D">
        <w:rPr>
          <w:b/>
          <w:bCs/>
          <w:lang w:val="ro-RO"/>
        </w:rPr>
        <w:t xml:space="preserve"> 3.2</w:t>
      </w:r>
      <w:r w:rsidR="00FB30ED" w:rsidRPr="00F4760D">
        <w:rPr>
          <w:b/>
          <w:bCs/>
          <w:lang w:val="ro-RO"/>
        </w:rPr>
        <w:t>.2</w:t>
      </w:r>
      <w:r w:rsidR="00543CA8" w:rsidRPr="00F4760D">
        <w:rPr>
          <w:b/>
          <w:bCs/>
          <w:lang w:val="ro-RO"/>
        </w:rPr>
        <w:t xml:space="preserve"> se modifică şi va</w:t>
      </w:r>
      <w:r w:rsidR="00FB30ED" w:rsidRPr="00F4760D">
        <w:rPr>
          <w:b/>
          <w:bCs/>
          <w:lang w:val="ro-RO"/>
        </w:rPr>
        <w:t xml:space="preserve"> avea următorul cuprins:</w:t>
      </w:r>
    </w:p>
    <w:p w:rsidR="00FB30ED" w:rsidRPr="00F4760D" w:rsidRDefault="0090586D" w:rsidP="0090586D">
      <w:pPr>
        <w:spacing w:after="0"/>
        <w:ind w:left="0" w:firstLine="567"/>
        <w:rPr>
          <w:rStyle w:val="Heading1Char"/>
          <w:rFonts w:ascii="Trebuchet MS" w:hAnsi="Trebuchet MS" w:cs="Times New Roman"/>
          <w:sz w:val="22"/>
          <w:szCs w:val="22"/>
          <w:lang w:val="ro-RO"/>
        </w:rPr>
      </w:pPr>
      <w:r w:rsidRPr="00F4760D">
        <w:rPr>
          <w:rStyle w:val="Heading1Char"/>
          <w:rFonts w:ascii="Trebuchet MS" w:hAnsi="Trebuchet MS" w:cs="Times New Roman"/>
          <w:b w:val="0"/>
          <w:sz w:val="22"/>
          <w:szCs w:val="22"/>
          <w:lang w:val="ro-RO"/>
        </w:rPr>
        <w:t>“3.2</w:t>
      </w:r>
      <w:r w:rsidR="00FB30ED" w:rsidRPr="00F4760D">
        <w:rPr>
          <w:rStyle w:val="Heading1Char"/>
          <w:rFonts w:ascii="Trebuchet MS" w:hAnsi="Trebuchet MS" w:cs="Times New Roman"/>
          <w:b w:val="0"/>
          <w:sz w:val="22"/>
          <w:szCs w:val="22"/>
          <w:lang w:val="ro-RO"/>
        </w:rPr>
        <w:t xml:space="preserve">.2. Documentaţia tehnico-economică stabileşte măsurile, tehnicile, procedeele şi organizarea instalaţiilor </w:t>
      </w:r>
      <w:r w:rsidR="00FB30ED" w:rsidRPr="00F4760D">
        <w:rPr>
          <w:lang w:val="ro-RO"/>
        </w:rPr>
        <w:t>de detectare, semnalizare şi alarmare la incendiu</w:t>
      </w:r>
      <w:r w:rsidR="00FB30ED" w:rsidRPr="00F4760D">
        <w:rPr>
          <w:rStyle w:val="Heading1Char"/>
          <w:rFonts w:ascii="Trebuchet MS" w:hAnsi="Trebuchet MS" w:cs="Times New Roman"/>
          <w:sz w:val="22"/>
          <w:szCs w:val="22"/>
          <w:lang w:val="ro-RO"/>
        </w:rPr>
        <w:t>.”</w:t>
      </w:r>
    </w:p>
    <w:p w:rsidR="00543CA8" w:rsidRPr="00F4760D" w:rsidRDefault="00543CA8" w:rsidP="00543CA8">
      <w:pPr>
        <w:spacing w:after="0"/>
        <w:ind w:left="0"/>
        <w:rPr>
          <w:rStyle w:val="Heading1Char"/>
          <w:rFonts w:ascii="Trebuchet MS" w:hAnsi="Trebuchet MS" w:cs="Times New Roman"/>
          <w:sz w:val="22"/>
          <w:szCs w:val="22"/>
          <w:lang w:val="ro-RO"/>
        </w:rPr>
      </w:pPr>
    </w:p>
    <w:p w:rsidR="00543CA8" w:rsidRPr="00F4760D" w:rsidRDefault="001A1A93" w:rsidP="00543CA8">
      <w:pPr>
        <w:pStyle w:val="ListParagraph"/>
        <w:numPr>
          <w:ilvl w:val="0"/>
          <w:numId w:val="2"/>
        </w:numPr>
        <w:spacing w:after="0"/>
        <w:ind w:left="924" w:hanging="357"/>
        <w:rPr>
          <w:b/>
          <w:bCs/>
          <w:lang w:val="ro-RO"/>
        </w:rPr>
      </w:pPr>
      <w:r>
        <w:rPr>
          <w:b/>
          <w:bCs/>
          <w:lang w:val="ro-RO"/>
        </w:rPr>
        <w:t>Punctele</w:t>
      </w:r>
      <w:r w:rsidR="00214FD9" w:rsidRPr="00F4760D">
        <w:rPr>
          <w:b/>
          <w:bCs/>
          <w:lang w:val="ro-RO"/>
        </w:rPr>
        <w:t xml:space="preserve"> 3.3.1 şi </w:t>
      </w:r>
      <w:r w:rsidR="00543CA8" w:rsidRPr="00F4760D">
        <w:rPr>
          <w:b/>
          <w:bCs/>
          <w:lang w:val="ro-RO"/>
        </w:rPr>
        <w:t>3.3.2 se modifică şi vor avea următorul cuprins:</w:t>
      </w:r>
    </w:p>
    <w:p w:rsidR="00FB30ED" w:rsidRPr="00F4760D" w:rsidRDefault="00543CA8" w:rsidP="00322E45">
      <w:pPr>
        <w:spacing w:after="0"/>
        <w:ind w:left="0" w:firstLine="567"/>
        <w:rPr>
          <w:lang w:val="ro-RO"/>
        </w:rPr>
      </w:pPr>
      <w:r w:rsidRPr="00F4760D">
        <w:rPr>
          <w:lang w:val="ro-RO"/>
        </w:rPr>
        <w:t>„</w:t>
      </w:r>
      <w:r w:rsidR="00FB30ED" w:rsidRPr="00F4760D">
        <w:rPr>
          <w:lang w:val="ro-RO"/>
        </w:rPr>
        <w:t>3.3.1. (1) Echiparea cu instalaţii de detectare, semnalizare şi alarmare la incendiu se asigură în mod obligatoriu la construcţii şi/sau spaţii (o încăpere sau mai multe încăperi inclusiv circulaţiile lor comune):</w:t>
      </w:r>
    </w:p>
    <w:p w:rsidR="00FB30ED" w:rsidRPr="00F4760D" w:rsidRDefault="00E82F06" w:rsidP="00B77A30">
      <w:pPr>
        <w:numPr>
          <w:ilvl w:val="0"/>
          <w:numId w:val="16"/>
        </w:numPr>
        <w:suppressAutoHyphens/>
        <w:spacing w:after="0"/>
        <w:rPr>
          <w:lang w:val="ro-RO"/>
        </w:rPr>
      </w:pPr>
      <w:r w:rsidRPr="00F4760D">
        <w:rPr>
          <w:lang w:val="ro-RO"/>
        </w:rPr>
        <w:t>toate categoriile de construcţii/compartimente/spații, prevăzute, conform reglementărilor specifice,</w:t>
      </w:r>
      <w:r w:rsidRPr="00F4760D">
        <w:t xml:space="preserve"> </w:t>
      </w:r>
      <w:r w:rsidRPr="00F4760D">
        <w:rPr>
          <w:lang w:val="ro-RO"/>
        </w:rPr>
        <w:t>cu sisteme de evacuare a fumului sau sisteme de evacuare a fumului si gazelor fierbinți, cu instalaţii automate de stingere cu apă tip sprinklere, sprinklere deschise - drencere sau pulverizatoare, ceaţă de apă, ori cu substanţe speciale, în condiţiile în care acţionarea acestora se face prin astfel de instalaţii</w:t>
      </w:r>
      <w:r w:rsidR="00FB30ED" w:rsidRPr="00F4760D">
        <w:rPr>
          <w:lang w:val="ro-RO"/>
        </w:rPr>
        <w:t>;</w:t>
      </w:r>
    </w:p>
    <w:p w:rsidR="00FB30ED" w:rsidRPr="00F4760D" w:rsidRDefault="00FB30ED" w:rsidP="0090586D">
      <w:pPr>
        <w:numPr>
          <w:ilvl w:val="0"/>
          <w:numId w:val="16"/>
        </w:numPr>
        <w:suppressAutoHyphens/>
        <w:spacing w:after="0"/>
        <w:rPr>
          <w:lang w:val="ro-RO"/>
        </w:rPr>
      </w:pPr>
      <w:r w:rsidRPr="00F4760D">
        <w:rPr>
          <w:lang w:val="ro-RO"/>
        </w:rPr>
        <w:t>construcţii închise de importanţă excepţională - A şi deosebită - B, încadrate conform legislaţiei specifice;</w:t>
      </w:r>
    </w:p>
    <w:p w:rsidR="00FB30ED" w:rsidRPr="00F4760D" w:rsidRDefault="00FB30ED" w:rsidP="0090586D">
      <w:pPr>
        <w:numPr>
          <w:ilvl w:val="0"/>
          <w:numId w:val="16"/>
        </w:numPr>
        <w:suppressAutoHyphens/>
        <w:spacing w:after="0"/>
        <w:rPr>
          <w:lang w:val="ro-RO"/>
        </w:rPr>
      </w:pPr>
      <w:r w:rsidRPr="00F4760D">
        <w:rPr>
          <w:lang w:val="ro-RO"/>
        </w:rPr>
        <w:t xml:space="preserve"> clădiri înalte, cu excepţia </w:t>
      </w:r>
      <w:r w:rsidR="004F57D5" w:rsidRPr="00F4760D">
        <w:rPr>
          <w:lang w:val="ro-RO"/>
        </w:rPr>
        <w:t>clădirilor cu destinaţia de locuinţe</w:t>
      </w:r>
      <w:r w:rsidRPr="00F4760D">
        <w:rPr>
          <w:lang w:val="ro-RO"/>
        </w:rPr>
        <w:t>, şi foarte înalte indiferent de destinaţie;</w:t>
      </w:r>
    </w:p>
    <w:p w:rsidR="00FB30ED" w:rsidRPr="00F4760D" w:rsidRDefault="00FB30ED" w:rsidP="0090586D">
      <w:pPr>
        <w:numPr>
          <w:ilvl w:val="0"/>
          <w:numId w:val="16"/>
        </w:numPr>
        <w:suppressAutoHyphens/>
        <w:spacing w:after="0"/>
        <w:rPr>
          <w:lang w:val="ro-RO"/>
        </w:rPr>
      </w:pPr>
      <w:r w:rsidRPr="00F4760D">
        <w:rPr>
          <w:lang w:val="ro-RO"/>
        </w:rPr>
        <w:t>săli aglomerate</w:t>
      </w:r>
      <w:r w:rsidR="004F57D5" w:rsidRPr="00F4760D">
        <w:rPr>
          <w:lang w:val="ro-RO"/>
        </w:rPr>
        <w:t xml:space="preserve"> şi spaţiile aferente acestora</w:t>
      </w:r>
      <w:r w:rsidRPr="00F4760D">
        <w:rPr>
          <w:lang w:val="ro-RO"/>
        </w:rPr>
        <w:t>;</w:t>
      </w:r>
    </w:p>
    <w:p w:rsidR="00FB30ED" w:rsidRPr="00F4760D" w:rsidRDefault="00FB30ED" w:rsidP="0090586D">
      <w:pPr>
        <w:numPr>
          <w:ilvl w:val="0"/>
          <w:numId w:val="16"/>
        </w:numPr>
        <w:suppressAutoHyphens/>
        <w:spacing w:after="0"/>
        <w:rPr>
          <w:lang w:val="ro-RO"/>
        </w:rPr>
      </w:pPr>
      <w:r w:rsidRPr="00F4760D">
        <w:rPr>
          <w:lang w:val="ro-RO"/>
        </w:rPr>
        <w:t>clădiri închise ori spaţii, civile, având destinaţie:</w:t>
      </w:r>
    </w:p>
    <w:p w:rsidR="00FB30ED" w:rsidRPr="00F4760D" w:rsidRDefault="00FB30ED" w:rsidP="00322E45">
      <w:pPr>
        <w:numPr>
          <w:ilvl w:val="0"/>
          <w:numId w:val="17"/>
        </w:numPr>
        <w:tabs>
          <w:tab w:val="clear" w:pos="720"/>
          <w:tab w:val="left" w:pos="1134"/>
        </w:tabs>
        <w:suppressAutoHyphens/>
        <w:spacing w:after="0"/>
        <w:ind w:left="1134" w:hanging="399"/>
        <w:rPr>
          <w:lang w:val="ro-RO"/>
        </w:rPr>
      </w:pPr>
      <w:r w:rsidRPr="00F4760D">
        <w:rPr>
          <w:lang w:val="ro-RO"/>
        </w:rPr>
        <w:t>administrativă cu aria desfăşurată mai mare de 600</w:t>
      </w:r>
      <w:r w:rsidR="00821C09">
        <w:rPr>
          <w:lang w:val="ro-RO"/>
        </w:rPr>
        <w:t xml:space="preserve"> </w:t>
      </w:r>
      <w:r w:rsidRPr="00F4760D">
        <w:rPr>
          <w:lang w:val="ro-RO"/>
        </w:rPr>
        <w:t>m</w:t>
      </w:r>
      <w:r w:rsidRPr="00F4760D">
        <w:rPr>
          <w:vertAlign w:val="superscript"/>
          <w:lang w:val="ro-RO"/>
        </w:rPr>
        <w:t>2</w:t>
      </w:r>
      <w:r w:rsidRPr="00F4760D">
        <w:rPr>
          <w:lang w:val="ro-RO"/>
        </w:rPr>
        <w:t xml:space="preserve">; </w:t>
      </w:r>
    </w:p>
    <w:p w:rsidR="00FB30ED" w:rsidRPr="00F4760D" w:rsidRDefault="00FB30ED" w:rsidP="00322E45">
      <w:pPr>
        <w:numPr>
          <w:ilvl w:val="0"/>
          <w:numId w:val="17"/>
        </w:numPr>
        <w:tabs>
          <w:tab w:val="clear" w:pos="720"/>
          <w:tab w:val="left" w:pos="1134"/>
        </w:tabs>
        <w:suppressAutoHyphens/>
        <w:spacing w:after="0"/>
        <w:ind w:left="1134" w:hanging="399"/>
        <w:rPr>
          <w:lang w:val="ro-RO"/>
        </w:rPr>
      </w:pPr>
      <w:r w:rsidRPr="00F4760D">
        <w:rPr>
          <w:lang w:val="ro-RO"/>
        </w:rPr>
        <w:lastRenderedPageBreak/>
        <w:t>de cultură c</w:t>
      </w:r>
      <w:r w:rsidR="00B77A30" w:rsidRPr="00F4760D">
        <w:rPr>
          <w:lang w:val="ro-RO"/>
        </w:rPr>
        <w:t>u aria desfăşurată mai mare de 6</w:t>
      </w:r>
      <w:r w:rsidRPr="00F4760D">
        <w:rPr>
          <w:lang w:val="ro-RO"/>
        </w:rPr>
        <w:t>00 m</w:t>
      </w:r>
      <w:r w:rsidRPr="00F4760D">
        <w:rPr>
          <w:vertAlign w:val="superscript"/>
          <w:lang w:val="ro-RO"/>
        </w:rPr>
        <w:t>2</w:t>
      </w:r>
      <w:r w:rsidRPr="00F4760D">
        <w:rPr>
          <w:lang w:val="ro-RO"/>
        </w:rPr>
        <w:t xml:space="preserve">; </w:t>
      </w:r>
    </w:p>
    <w:p w:rsidR="00FB30ED" w:rsidRPr="00F4760D" w:rsidRDefault="00FB30ED" w:rsidP="00322E45">
      <w:pPr>
        <w:numPr>
          <w:ilvl w:val="0"/>
          <w:numId w:val="17"/>
        </w:numPr>
        <w:tabs>
          <w:tab w:val="clear" w:pos="720"/>
          <w:tab w:val="left" w:pos="1134"/>
        </w:tabs>
        <w:suppressAutoHyphens/>
        <w:spacing w:after="0"/>
        <w:ind w:left="1134" w:hanging="399"/>
        <w:rPr>
          <w:lang w:val="ro-RO"/>
        </w:rPr>
      </w:pPr>
      <w:r w:rsidRPr="00F4760D">
        <w:rPr>
          <w:lang w:val="ro-RO"/>
        </w:rPr>
        <w:t>de comerţ cu aria des</w:t>
      </w:r>
      <w:r w:rsidR="00B77A30" w:rsidRPr="00F4760D">
        <w:rPr>
          <w:lang w:val="ro-RO"/>
        </w:rPr>
        <w:t>făşurată mai mare sau egală cu 6</w:t>
      </w:r>
      <w:r w:rsidRPr="00F4760D">
        <w:rPr>
          <w:lang w:val="ro-RO"/>
        </w:rPr>
        <w:t>00 m</w:t>
      </w:r>
      <w:r w:rsidRPr="00F4760D">
        <w:rPr>
          <w:vertAlign w:val="superscript"/>
          <w:lang w:val="ro-RO"/>
        </w:rPr>
        <w:t>2</w:t>
      </w:r>
      <w:r w:rsidRPr="00F4760D">
        <w:rPr>
          <w:lang w:val="ro-RO"/>
        </w:rPr>
        <w:t>;</w:t>
      </w:r>
    </w:p>
    <w:p w:rsidR="00FB30ED" w:rsidRPr="00F4760D" w:rsidRDefault="00FB30ED" w:rsidP="00322E45">
      <w:pPr>
        <w:numPr>
          <w:ilvl w:val="0"/>
          <w:numId w:val="17"/>
        </w:numPr>
        <w:tabs>
          <w:tab w:val="clear" w:pos="720"/>
          <w:tab w:val="left" w:pos="1134"/>
        </w:tabs>
        <w:suppressAutoHyphens/>
        <w:spacing w:after="0"/>
        <w:ind w:left="1134" w:hanging="399"/>
        <w:rPr>
          <w:lang w:val="ro-RO"/>
        </w:rPr>
      </w:pPr>
      <w:r w:rsidRPr="00F4760D">
        <w:rPr>
          <w:lang w:val="ro-RO"/>
        </w:rPr>
        <w:t>de sport în care se pot afla simultan mai mult de 200 persoane;</w:t>
      </w:r>
    </w:p>
    <w:p w:rsidR="00FB30ED" w:rsidRPr="00F4760D" w:rsidRDefault="00FB30ED" w:rsidP="00322E45">
      <w:pPr>
        <w:numPr>
          <w:ilvl w:val="0"/>
          <w:numId w:val="17"/>
        </w:numPr>
        <w:tabs>
          <w:tab w:val="clear" w:pos="720"/>
          <w:tab w:val="left" w:pos="1134"/>
        </w:tabs>
        <w:suppressAutoHyphens/>
        <w:spacing w:after="0"/>
        <w:ind w:left="1134" w:hanging="399"/>
        <w:rPr>
          <w:lang w:val="ro-RO"/>
        </w:rPr>
      </w:pPr>
      <w:r w:rsidRPr="00F4760D">
        <w:rPr>
          <w:lang w:val="ro-RO"/>
        </w:rPr>
        <w:t>de cult cu peste 300 de persoane;</w:t>
      </w:r>
    </w:p>
    <w:p w:rsidR="00FB30ED" w:rsidRPr="00F4760D" w:rsidRDefault="00B77A30" w:rsidP="00322E45">
      <w:pPr>
        <w:numPr>
          <w:ilvl w:val="0"/>
          <w:numId w:val="17"/>
        </w:numPr>
        <w:tabs>
          <w:tab w:val="clear" w:pos="720"/>
          <w:tab w:val="left" w:pos="1134"/>
        </w:tabs>
        <w:suppressAutoHyphens/>
        <w:spacing w:after="0"/>
        <w:ind w:left="1134" w:hanging="399"/>
        <w:rPr>
          <w:lang w:val="ro-RO"/>
        </w:rPr>
      </w:pPr>
      <w:r w:rsidRPr="00F4760D">
        <w:rPr>
          <w:lang w:val="ro-RO"/>
        </w:rPr>
        <w:t>de învăţământ</w:t>
      </w:r>
      <w:r w:rsidR="00FB30ED" w:rsidRPr="00F4760D">
        <w:rPr>
          <w:lang w:val="ro-RO"/>
        </w:rPr>
        <w:t xml:space="preserve"> care adăpostesc peste 200 de persoane;</w:t>
      </w:r>
    </w:p>
    <w:p w:rsidR="00FB30ED" w:rsidRPr="00F4760D" w:rsidRDefault="00FB30ED" w:rsidP="00322E45">
      <w:pPr>
        <w:numPr>
          <w:ilvl w:val="0"/>
          <w:numId w:val="17"/>
        </w:numPr>
        <w:tabs>
          <w:tab w:val="clear" w:pos="720"/>
          <w:tab w:val="left" w:pos="1134"/>
        </w:tabs>
        <w:suppressAutoHyphens/>
        <w:spacing w:after="0"/>
        <w:ind w:left="1134" w:hanging="399"/>
        <w:rPr>
          <w:lang w:val="ro-RO"/>
        </w:rPr>
      </w:pPr>
      <w:r w:rsidRPr="00F4760D">
        <w:rPr>
          <w:lang w:val="ro-RO"/>
        </w:rPr>
        <w:t>de turism cu cel puţin 25 camere sau 50 de locuri de cazare;</w:t>
      </w:r>
    </w:p>
    <w:p w:rsidR="00FB30ED" w:rsidRPr="00F4760D" w:rsidRDefault="00FB30ED" w:rsidP="00322E45">
      <w:pPr>
        <w:numPr>
          <w:ilvl w:val="0"/>
          <w:numId w:val="17"/>
        </w:numPr>
        <w:tabs>
          <w:tab w:val="clear" w:pos="720"/>
          <w:tab w:val="left" w:pos="1134"/>
        </w:tabs>
        <w:suppressAutoHyphens/>
        <w:spacing w:after="0"/>
        <w:ind w:left="1134" w:hanging="399"/>
        <w:rPr>
          <w:lang w:val="ro-RO"/>
        </w:rPr>
      </w:pPr>
      <w:r w:rsidRPr="00F4760D">
        <w:rPr>
          <w:lang w:val="ro-RO"/>
        </w:rPr>
        <w:t>de cazare a elevilor, studenţilor, sportivilor având mai mult de 100 locuri de cazare;</w:t>
      </w:r>
    </w:p>
    <w:p w:rsidR="00FB30ED" w:rsidRPr="00F4760D" w:rsidRDefault="00FB30ED" w:rsidP="00322E45">
      <w:pPr>
        <w:numPr>
          <w:ilvl w:val="0"/>
          <w:numId w:val="17"/>
        </w:numPr>
        <w:tabs>
          <w:tab w:val="clear" w:pos="720"/>
          <w:tab w:val="left" w:pos="1134"/>
        </w:tabs>
        <w:suppressAutoHyphens/>
        <w:spacing w:after="0"/>
        <w:ind w:left="1134" w:hanging="399"/>
        <w:rPr>
          <w:lang w:val="ro-RO"/>
        </w:rPr>
      </w:pPr>
      <w:r w:rsidRPr="00F4760D">
        <w:rPr>
          <w:lang w:val="ro-RO"/>
        </w:rPr>
        <w:t xml:space="preserve">de sănătate cu paturi staţionare/pentru supravegherea, îngrijirea ori cazarea/adăpostirea bătrânilor, persoanelor cu </w:t>
      </w:r>
      <w:r w:rsidR="002359B9" w:rsidRPr="00F4760D">
        <w:rPr>
          <w:lang w:val="ro-RO"/>
        </w:rPr>
        <w:t>de</w:t>
      </w:r>
      <w:r w:rsidR="00322E45" w:rsidRPr="00F4760D">
        <w:rPr>
          <w:lang w:val="ro-RO"/>
        </w:rPr>
        <w:t>zabilități</w:t>
      </w:r>
      <w:r w:rsidRPr="00F4760D">
        <w:rPr>
          <w:lang w:val="ro-RO"/>
        </w:rPr>
        <w:t xml:space="preserve"> sau lipsite de adăpost, cu</w:t>
      </w:r>
      <w:r w:rsidR="0005589D" w:rsidRPr="00F4760D">
        <w:rPr>
          <w:lang w:val="ro-RO"/>
        </w:rPr>
        <w:t xml:space="preserve"> aria desfăşurată mai mare de 15</w:t>
      </w:r>
      <w:r w:rsidRPr="00F4760D">
        <w:rPr>
          <w:lang w:val="ro-RO"/>
        </w:rPr>
        <w:t>0 m</w:t>
      </w:r>
      <w:r w:rsidRPr="00F4760D">
        <w:rPr>
          <w:vertAlign w:val="superscript"/>
          <w:lang w:val="ro-RO"/>
        </w:rPr>
        <w:t>2</w:t>
      </w:r>
      <w:r w:rsidRPr="00F4760D">
        <w:rPr>
          <w:lang w:val="ro-RO"/>
        </w:rPr>
        <w:t>;</w:t>
      </w:r>
    </w:p>
    <w:p w:rsidR="0005589D" w:rsidRPr="00F4760D" w:rsidRDefault="00234465" w:rsidP="0005589D">
      <w:pPr>
        <w:numPr>
          <w:ilvl w:val="0"/>
          <w:numId w:val="17"/>
        </w:numPr>
        <w:tabs>
          <w:tab w:val="clear" w:pos="720"/>
          <w:tab w:val="left" w:pos="1134"/>
        </w:tabs>
        <w:suppressAutoHyphens/>
        <w:spacing w:after="0"/>
        <w:ind w:left="1134" w:hanging="399"/>
        <w:rPr>
          <w:lang w:val="ro-RO"/>
        </w:rPr>
      </w:pPr>
      <w:r w:rsidRPr="00F4760D">
        <w:rPr>
          <w:lang w:val="ro-RO"/>
        </w:rPr>
        <w:t>învață</w:t>
      </w:r>
      <w:r w:rsidR="0005589D" w:rsidRPr="00F4760D">
        <w:rPr>
          <w:lang w:val="ro-RO"/>
        </w:rPr>
        <w:t>mant/educaț</w:t>
      </w:r>
      <w:r w:rsidRPr="00F4760D">
        <w:rPr>
          <w:lang w:val="ro-RO"/>
        </w:rPr>
        <w:t>ie anteprescolar(ă)(0-3 ani/creș</w:t>
      </w:r>
      <w:r w:rsidR="0005589D" w:rsidRPr="00F4760D">
        <w:rPr>
          <w:lang w:val="ro-RO"/>
        </w:rPr>
        <w:t>e, centre de zi) și/sau de</w:t>
      </w:r>
      <w:r w:rsidR="004B6976" w:rsidRPr="00F4760D">
        <w:rPr>
          <w:lang w:val="ro-RO"/>
        </w:rPr>
        <w:t xml:space="preserve"> învățământ preșcolar(3-6 </w:t>
      </w:r>
      <w:r w:rsidR="0005589D" w:rsidRPr="00F4760D">
        <w:rPr>
          <w:lang w:val="ro-RO"/>
        </w:rPr>
        <w:t>ani/gradinițe, centre de zi)/pentru supravegherea, îngrijirea ori cazarea/adăpostirea copiilor antepreșcolari și preşcolari, cu aria desfăşurată mai mare de 150 m</w:t>
      </w:r>
      <w:r w:rsidR="0005589D" w:rsidRPr="00F4760D">
        <w:rPr>
          <w:vertAlign w:val="superscript"/>
          <w:lang w:val="ro-RO"/>
        </w:rPr>
        <w:t>2</w:t>
      </w:r>
      <w:r w:rsidR="0005589D" w:rsidRPr="00F4760D">
        <w:rPr>
          <w:lang w:val="ro-RO"/>
        </w:rPr>
        <w:t>;</w:t>
      </w:r>
    </w:p>
    <w:p w:rsidR="00FB30ED" w:rsidRPr="00F4760D" w:rsidRDefault="00FB30ED" w:rsidP="0090586D">
      <w:pPr>
        <w:numPr>
          <w:ilvl w:val="0"/>
          <w:numId w:val="16"/>
        </w:numPr>
        <w:suppressAutoHyphens/>
        <w:spacing w:after="0"/>
        <w:rPr>
          <w:lang w:val="ro-RO"/>
        </w:rPr>
      </w:pPr>
      <w:r w:rsidRPr="00F4760D">
        <w:rPr>
          <w:lang w:val="ro-RO"/>
        </w:rPr>
        <w:t>clădiri ori spaţii, civile subterane, cu excepţia locuinţelor, cu aria desfăşurată mai mare de 300 m</w:t>
      </w:r>
      <w:r w:rsidRPr="00F4760D">
        <w:rPr>
          <w:vertAlign w:val="superscript"/>
          <w:lang w:val="ro-RO"/>
        </w:rPr>
        <w:t>2</w:t>
      </w:r>
      <w:r w:rsidRPr="00F4760D">
        <w:rPr>
          <w:lang w:val="ro-RO"/>
        </w:rPr>
        <w:t xml:space="preserve">; </w:t>
      </w:r>
    </w:p>
    <w:p w:rsidR="00FB30ED" w:rsidRPr="00F4760D" w:rsidRDefault="00FB30ED" w:rsidP="0090586D">
      <w:pPr>
        <w:numPr>
          <w:ilvl w:val="0"/>
          <w:numId w:val="16"/>
        </w:numPr>
        <w:suppressAutoHyphens/>
        <w:spacing w:after="0"/>
        <w:rPr>
          <w:lang w:val="ro-RO"/>
        </w:rPr>
      </w:pPr>
      <w:r w:rsidRPr="00F4760D">
        <w:rPr>
          <w:lang w:val="ro-RO"/>
        </w:rPr>
        <w:t>parcaje subterane potrivit reglementărilor specifice;</w:t>
      </w:r>
    </w:p>
    <w:p w:rsidR="00FB30ED" w:rsidRPr="00F4760D" w:rsidRDefault="00FB30ED" w:rsidP="0090586D">
      <w:pPr>
        <w:numPr>
          <w:ilvl w:val="0"/>
          <w:numId w:val="16"/>
        </w:numPr>
        <w:suppressAutoHyphens/>
        <w:spacing w:after="0"/>
        <w:rPr>
          <w:lang w:val="ro-RO"/>
        </w:rPr>
      </w:pPr>
      <w:r w:rsidRPr="00F4760D">
        <w:rPr>
          <w:lang w:val="ro-RO"/>
        </w:rPr>
        <w:t>parcaje supraterane închise cu mai mult de 50 autoturisme;</w:t>
      </w:r>
    </w:p>
    <w:p w:rsidR="00FB30ED" w:rsidRPr="00F4760D" w:rsidRDefault="00FB30ED" w:rsidP="0090586D">
      <w:pPr>
        <w:numPr>
          <w:ilvl w:val="0"/>
          <w:numId w:val="16"/>
        </w:numPr>
        <w:suppressAutoHyphens/>
        <w:spacing w:after="0"/>
        <w:rPr>
          <w:lang w:val="ro-RO"/>
        </w:rPr>
      </w:pPr>
      <w:r w:rsidRPr="00F4760D">
        <w:rPr>
          <w:lang w:val="ro-RO"/>
        </w:rPr>
        <w:t xml:space="preserve">clădiri </w:t>
      </w:r>
      <w:r w:rsidR="004B6976" w:rsidRPr="00F4760D">
        <w:rPr>
          <w:lang w:val="ro-RO"/>
        </w:rPr>
        <w:t xml:space="preserve">ori spaţii </w:t>
      </w:r>
      <w:r w:rsidRPr="00F4760D">
        <w:rPr>
          <w:lang w:val="ro-RO"/>
        </w:rPr>
        <w:t xml:space="preserve">civile, cu excepţia locuinţelor, cu peste 300 de persoane sau cu aria desfăşurată </w:t>
      </w:r>
      <w:r w:rsidR="004B6976" w:rsidRPr="00F4760D">
        <w:rPr>
          <w:lang w:val="ro-RO"/>
        </w:rPr>
        <w:t>mai mare de 1</w:t>
      </w:r>
      <w:r w:rsidR="00821C09">
        <w:rPr>
          <w:lang w:val="ro-RO"/>
        </w:rPr>
        <w:t>.</w:t>
      </w:r>
      <w:r w:rsidR="004B6976" w:rsidRPr="00F4760D">
        <w:rPr>
          <w:lang w:val="ro-RO"/>
        </w:rPr>
        <w:t>0</w:t>
      </w:r>
      <w:r w:rsidRPr="00F4760D">
        <w:rPr>
          <w:lang w:val="ro-RO"/>
        </w:rPr>
        <w:t>00 m</w:t>
      </w:r>
      <w:r w:rsidRPr="00F4760D">
        <w:rPr>
          <w:vertAlign w:val="superscript"/>
          <w:lang w:val="ro-RO"/>
        </w:rPr>
        <w:t xml:space="preserve">2 </w:t>
      </w:r>
      <w:r w:rsidRPr="00F4760D">
        <w:rPr>
          <w:lang w:val="ro-RO"/>
        </w:rPr>
        <w:t>;</w:t>
      </w:r>
    </w:p>
    <w:p w:rsidR="00FB30ED" w:rsidRPr="00F4760D" w:rsidRDefault="00FB30ED" w:rsidP="0090586D">
      <w:pPr>
        <w:numPr>
          <w:ilvl w:val="0"/>
          <w:numId w:val="16"/>
        </w:numPr>
        <w:suppressAutoHyphens/>
        <w:spacing w:after="0"/>
        <w:rPr>
          <w:lang w:val="ro-RO"/>
        </w:rPr>
      </w:pPr>
      <w:r w:rsidRPr="00F4760D">
        <w:rPr>
          <w:lang w:val="ro-RO"/>
        </w:rPr>
        <w:t xml:space="preserve">clădiri închise ori spaţii, de producţie şi/sau depozitare având </w:t>
      </w:r>
      <w:r w:rsidR="00821C09">
        <w:rPr>
          <w:lang w:val="ro-RO"/>
        </w:rPr>
        <w:t>risc mare sau foarte mare de incendiu</w:t>
      </w:r>
      <w:r w:rsidRPr="00F4760D">
        <w:rPr>
          <w:lang w:val="ro-RO"/>
        </w:rPr>
        <w:t xml:space="preserve"> şi aria desfăşurată mai mare de 600</w:t>
      </w:r>
      <w:r w:rsidR="00821C09">
        <w:rPr>
          <w:lang w:val="ro-RO"/>
        </w:rPr>
        <w:t xml:space="preserve"> </w:t>
      </w:r>
      <w:r w:rsidRPr="00F4760D">
        <w:rPr>
          <w:lang w:val="ro-RO"/>
        </w:rPr>
        <w:t>m</w:t>
      </w:r>
      <w:r w:rsidRPr="00F4760D">
        <w:rPr>
          <w:vertAlign w:val="superscript"/>
          <w:lang w:val="ro-RO"/>
        </w:rPr>
        <w:t>2</w:t>
      </w:r>
      <w:r w:rsidRPr="00F4760D">
        <w:rPr>
          <w:lang w:val="ro-RO"/>
        </w:rPr>
        <w:t>;</w:t>
      </w:r>
    </w:p>
    <w:p w:rsidR="00FB30ED" w:rsidRPr="00F4760D" w:rsidRDefault="00FB30ED" w:rsidP="0090586D">
      <w:pPr>
        <w:numPr>
          <w:ilvl w:val="0"/>
          <w:numId w:val="16"/>
        </w:numPr>
        <w:suppressAutoHyphens/>
        <w:spacing w:after="0"/>
        <w:rPr>
          <w:lang w:val="ro-RO"/>
        </w:rPr>
      </w:pPr>
      <w:r w:rsidRPr="00F4760D">
        <w:rPr>
          <w:lang w:val="ro-RO"/>
        </w:rPr>
        <w:t>depozite închise cu stive</w:t>
      </w:r>
      <w:r w:rsidR="002359B9" w:rsidRPr="00F4760D">
        <w:rPr>
          <w:lang w:val="ro-RO"/>
        </w:rPr>
        <w:t xml:space="preserve"> având înălţimea mai mare de 4</w:t>
      </w:r>
      <w:r w:rsidR="00821C09">
        <w:rPr>
          <w:lang w:val="ro-RO"/>
        </w:rPr>
        <w:t xml:space="preserve"> </w:t>
      </w:r>
      <w:r w:rsidR="002359B9" w:rsidRPr="00F4760D">
        <w:rPr>
          <w:lang w:val="ro-RO"/>
        </w:rPr>
        <w:t>m.</w:t>
      </w:r>
    </w:p>
    <w:p w:rsidR="00FB30ED" w:rsidRPr="00F4760D" w:rsidRDefault="00FB30ED" w:rsidP="0090586D">
      <w:pPr>
        <w:suppressAutoHyphens/>
        <w:spacing w:after="0"/>
        <w:ind w:left="0" w:firstLine="720"/>
        <w:rPr>
          <w:lang w:val="ro-RO"/>
        </w:rPr>
      </w:pPr>
      <w:r w:rsidRPr="00F4760D">
        <w:rPr>
          <w:lang w:val="ro-RO"/>
        </w:rPr>
        <w:t>(2) Pentru clădirile ori spaţiile enumerate la alin. (1) trebuie supravegheate suplimentar următoarele zone:</w:t>
      </w:r>
    </w:p>
    <w:p w:rsidR="00FB30ED" w:rsidRPr="000E2A52" w:rsidRDefault="00233678" w:rsidP="00233678">
      <w:pPr>
        <w:numPr>
          <w:ilvl w:val="0"/>
          <w:numId w:val="18"/>
        </w:numPr>
        <w:tabs>
          <w:tab w:val="clear" w:pos="720"/>
          <w:tab w:val="left" w:pos="1140"/>
        </w:tabs>
        <w:suppressAutoHyphens/>
        <w:spacing w:after="0"/>
        <w:ind w:left="1134" w:hanging="425"/>
        <w:rPr>
          <w:lang w:val="ro-RO"/>
        </w:rPr>
      </w:pPr>
      <w:r w:rsidRPr="000E2A52">
        <w:rPr>
          <w:lang w:val="ro-RO"/>
        </w:rPr>
        <w:t xml:space="preserve">puțurile lifturilor și spațiile destinate transportului </w:t>
      </w:r>
      <w:r w:rsidR="00FB30ED" w:rsidRPr="000E2A52">
        <w:rPr>
          <w:lang w:val="ro-RO"/>
        </w:rPr>
        <w:t>şi transmisie</w:t>
      </w:r>
      <w:r w:rsidRPr="000E2A52">
        <w:rPr>
          <w:lang w:val="ro-RO"/>
        </w:rPr>
        <w:t>i</w:t>
      </w:r>
      <w:r w:rsidR="00FB30ED" w:rsidRPr="000E2A52">
        <w:rPr>
          <w:lang w:val="ro-RO"/>
        </w:rPr>
        <w:t>;</w:t>
      </w:r>
    </w:p>
    <w:p w:rsidR="00FB30ED" w:rsidRPr="00F4760D" w:rsidRDefault="00FB30ED" w:rsidP="0090586D">
      <w:pPr>
        <w:numPr>
          <w:ilvl w:val="0"/>
          <w:numId w:val="18"/>
        </w:numPr>
        <w:tabs>
          <w:tab w:val="clear" w:pos="720"/>
          <w:tab w:val="left" w:pos="1140"/>
        </w:tabs>
        <w:suppressAutoHyphens/>
        <w:spacing w:after="0"/>
        <w:ind w:left="1134" w:hanging="425"/>
        <w:rPr>
          <w:lang w:val="ro-RO"/>
        </w:rPr>
      </w:pPr>
      <w:r w:rsidRPr="00F4760D">
        <w:rPr>
          <w:lang w:val="ro-RO"/>
        </w:rPr>
        <w:t>canalele şi puţurile de cabluri;</w:t>
      </w:r>
    </w:p>
    <w:p w:rsidR="00FB30ED" w:rsidRPr="00F4760D" w:rsidRDefault="00FB30ED" w:rsidP="0090586D">
      <w:pPr>
        <w:numPr>
          <w:ilvl w:val="0"/>
          <w:numId w:val="18"/>
        </w:numPr>
        <w:tabs>
          <w:tab w:val="clear" w:pos="720"/>
          <w:tab w:val="left" w:pos="1140"/>
        </w:tabs>
        <w:suppressAutoHyphens/>
        <w:spacing w:after="0"/>
        <w:ind w:left="1134" w:hanging="425"/>
        <w:rPr>
          <w:lang w:val="ro-RO"/>
        </w:rPr>
      </w:pPr>
      <w:r w:rsidRPr="00F4760D">
        <w:rPr>
          <w:lang w:val="ro-RO"/>
        </w:rPr>
        <w:t>instalaţiile de climatizare, de aerisire şi de ventilaţie, precum şi canalele de admisie şi evacuare a aerului;</w:t>
      </w:r>
    </w:p>
    <w:p w:rsidR="00FB30ED" w:rsidRPr="00F4760D" w:rsidRDefault="00FB30ED" w:rsidP="0090586D">
      <w:pPr>
        <w:numPr>
          <w:ilvl w:val="0"/>
          <w:numId w:val="18"/>
        </w:numPr>
        <w:tabs>
          <w:tab w:val="clear" w:pos="720"/>
          <w:tab w:val="left" w:pos="1140"/>
        </w:tabs>
        <w:suppressAutoHyphens/>
        <w:spacing w:after="0"/>
        <w:ind w:left="1134" w:hanging="425"/>
        <w:rPr>
          <w:lang w:val="ro-RO"/>
        </w:rPr>
      </w:pPr>
      <w:r w:rsidRPr="00F4760D">
        <w:rPr>
          <w:lang w:val="ro-RO"/>
        </w:rPr>
        <w:t>canalele şi puţurile pentru materiale şi deşeuri, precum şi incintele de colectare ale acestora;</w:t>
      </w:r>
    </w:p>
    <w:p w:rsidR="00FB30ED" w:rsidRPr="00F4760D" w:rsidRDefault="00FB30ED" w:rsidP="0090586D">
      <w:pPr>
        <w:numPr>
          <w:ilvl w:val="0"/>
          <w:numId w:val="18"/>
        </w:numPr>
        <w:tabs>
          <w:tab w:val="clear" w:pos="720"/>
          <w:tab w:val="left" w:pos="1140"/>
        </w:tabs>
        <w:suppressAutoHyphens/>
        <w:spacing w:after="0"/>
        <w:ind w:left="1134" w:hanging="425"/>
        <w:rPr>
          <w:lang w:val="ro-RO"/>
        </w:rPr>
      </w:pPr>
      <w:r w:rsidRPr="00F4760D">
        <w:rPr>
          <w:lang w:val="ro-RO"/>
        </w:rPr>
        <w:t>spaţiile de depozitare a materialelor combustibile</w:t>
      </w:r>
      <w:r w:rsidR="004F57D5" w:rsidRPr="00F4760D">
        <w:rPr>
          <w:lang w:val="ro-RO"/>
        </w:rPr>
        <w:t xml:space="preserve"> altele decât cele de la alin.(1)</w:t>
      </w:r>
      <w:r w:rsidRPr="00F4760D">
        <w:rPr>
          <w:lang w:val="ro-RO"/>
        </w:rPr>
        <w:t>;</w:t>
      </w:r>
    </w:p>
    <w:p w:rsidR="00FB30ED" w:rsidRPr="00F4760D" w:rsidRDefault="00FB30ED" w:rsidP="0090586D">
      <w:pPr>
        <w:numPr>
          <w:ilvl w:val="0"/>
          <w:numId w:val="18"/>
        </w:numPr>
        <w:tabs>
          <w:tab w:val="clear" w:pos="720"/>
          <w:tab w:val="left" w:pos="1140"/>
        </w:tabs>
        <w:suppressAutoHyphens/>
        <w:spacing w:after="0"/>
        <w:ind w:left="1134" w:hanging="425"/>
        <w:rPr>
          <w:lang w:val="ro-RO"/>
        </w:rPr>
      </w:pPr>
      <w:r w:rsidRPr="00F4760D">
        <w:rPr>
          <w:lang w:val="ro-RO"/>
        </w:rPr>
        <w:t>spaţiile delimitate de tavane</w:t>
      </w:r>
      <w:r w:rsidR="008719D9" w:rsidRPr="00F4760D">
        <w:rPr>
          <w:lang w:val="ro-RO"/>
        </w:rPr>
        <w:t>/plafoane</w:t>
      </w:r>
      <w:r w:rsidRPr="00F4760D">
        <w:rPr>
          <w:lang w:val="ro-RO"/>
        </w:rPr>
        <w:t xml:space="preserve"> false</w:t>
      </w:r>
      <w:r w:rsidR="008719D9" w:rsidRPr="00F4760D">
        <w:rPr>
          <w:lang w:val="ro-RO"/>
        </w:rPr>
        <w:t xml:space="preserve"> ori suspendate şi de pardoseli</w:t>
      </w:r>
      <w:r w:rsidRPr="00F4760D">
        <w:rPr>
          <w:lang w:val="ro-RO"/>
        </w:rPr>
        <w:t xml:space="preserve"> tehnice</w:t>
      </w:r>
      <w:r w:rsidR="008719D9" w:rsidRPr="00F4760D">
        <w:rPr>
          <w:lang w:val="ro-RO"/>
        </w:rPr>
        <w:t>/supraînălțate</w:t>
      </w:r>
      <w:r w:rsidRPr="00F4760D">
        <w:rPr>
          <w:lang w:val="ro-RO"/>
        </w:rPr>
        <w:t>;</w:t>
      </w:r>
    </w:p>
    <w:p w:rsidR="00FB30ED" w:rsidRPr="00F4760D" w:rsidRDefault="00FB30ED" w:rsidP="0090586D">
      <w:pPr>
        <w:numPr>
          <w:ilvl w:val="0"/>
          <w:numId w:val="18"/>
        </w:numPr>
        <w:tabs>
          <w:tab w:val="clear" w:pos="720"/>
          <w:tab w:val="left" w:pos="1140"/>
        </w:tabs>
        <w:suppressAutoHyphens/>
        <w:spacing w:after="0"/>
        <w:ind w:left="1134" w:hanging="425"/>
        <w:rPr>
          <w:lang w:val="ro-RO"/>
        </w:rPr>
      </w:pPr>
      <w:r w:rsidRPr="00F4760D">
        <w:rPr>
          <w:lang w:val="ro-RO"/>
        </w:rPr>
        <w:t>compartimente ale încăperilor în care sunt amenajate spaţii pentru depozitare pe verticală la care marginea superioară se află la o distanţă mai mică de 0.5 m de tavan sau de alte elemente aflate la partea superioară a încăperii.</w:t>
      </w:r>
    </w:p>
    <w:p w:rsidR="00FB30ED" w:rsidRPr="00F4760D" w:rsidRDefault="00FB30ED" w:rsidP="00322E45">
      <w:pPr>
        <w:suppressAutoHyphens/>
        <w:spacing w:after="0"/>
        <w:ind w:left="0" w:firstLine="567"/>
        <w:rPr>
          <w:lang w:val="ro-RO"/>
        </w:rPr>
      </w:pPr>
      <w:r w:rsidRPr="00F4760D">
        <w:rPr>
          <w:lang w:val="ro-RO"/>
        </w:rPr>
        <w:t>(3) Fac excepţie de la prevederile alin. (1) spaţiile de depozitare pentru cereale în vrac.</w:t>
      </w:r>
    </w:p>
    <w:p w:rsidR="00FB30ED" w:rsidRPr="00F4760D" w:rsidRDefault="00FB30ED" w:rsidP="00322E45">
      <w:pPr>
        <w:suppressAutoHyphens/>
        <w:spacing w:after="0"/>
        <w:ind w:left="0" w:firstLine="567"/>
        <w:rPr>
          <w:lang w:val="ro-RO"/>
        </w:rPr>
      </w:pPr>
      <w:r w:rsidRPr="00F4760D">
        <w:rPr>
          <w:lang w:val="ro-RO"/>
        </w:rPr>
        <w:t xml:space="preserve">(4) La clădirile ori spaţiile de turism, cu mai puţin de 25 camere sau 50 locuri de cazare, precum şi în fiecare locuinţă dispusă la mansardele amenajate sau realizate la clădiri de locuit colective cu </w:t>
      </w:r>
      <w:r w:rsidRPr="000E2A52">
        <w:rPr>
          <w:lang w:val="ro-RO"/>
        </w:rPr>
        <w:t>mai mult d</w:t>
      </w:r>
      <w:r w:rsidR="00EC385B" w:rsidRPr="000E2A52">
        <w:rPr>
          <w:lang w:val="ro-RO"/>
        </w:rPr>
        <w:t>e patru niveluri supraterane se</w:t>
      </w:r>
      <w:r w:rsidRPr="000E2A52">
        <w:rPr>
          <w:lang w:val="ro-RO"/>
        </w:rPr>
        <w:t xml:space="preserve"> pre</w:t>
      </w:r>
      <w:r w:rsidR="002359B9" w:rsidRPr="000E2A52">
        <w:rPr>
          <w:lang w:val="ro-RO"/>
        </w:rPr>
        <w:t xml:space="preserve">văd detectoare </w:t>
      </w:r>
      <w:r w:rsidR="00EC385B" w:rsidRPr="000E2A52">
        <w:rPr>
          <w:lang w:val="ro-RO"/>
        </w:rPr>
        <w:t xml:space="preserve">de fum </w:t>
      </w:r>
      <w:r w:rsidR="002359B9" w:rsidRPr="000E2A52">
        <w:rPr>
          <w:lang w:val="ro-RO"/>
        </w:rPr>
        <w:t>autonome</w:t>
      </w:r>
      <w:r w:rsidR="00EC385B" w:rsidRPr="000E2A52">
        <w:rPr>
          <w:lang w:val="ro-RO"/>
        </w:rPr>
        <w:t>, standard de referință SR EN 14604-2006/AC:2009</w:t>
      </w:r>
      <w:r w:rsidR="002359B9" w:rsidRPr="000E2A52">
        <w:rPr>
          <w:lang w:val="ro-RO"/>
        </w:rPr>
        <w:t>.</w:t>
      </w:r>
      <w:r w:rsidR="004F57D5" w:rsidRPr="000E2A52">
        <w:rPr>
          <w:lang w:val="ro-RO"/>
        </w:rPr>
        <w:t xml:space="preserve"> Detectoarele </w:t>
      </w:r>
      <w:r w:rsidR="00C57AA4" w:rsidRPr="000E2A52">
        <w:rPr>
          <w:lang w:val="ro-RO"/>
        </w:rPr>
        <w:t>autonome</w:t>
      </w:r>
      <w:r w:rsidR="00BE05F8" w:rsidRPr="000E2A52">
        <w:rPr>
          <w:lang w:val="ro-RO"/>
        </w:rPr>
        <w:t xml:space="preserve"> </w:t>
      </w:r>
      <w:r w:rsidR="006D45E2" w:rsidRPr="000E2A52">
        <w:rPr>
          <w:lang w:val="ro-RO"/>
        </w:rPr>
        <w:t xml:space="preserve">de fum </w:t>
      </w:r>
      <w:r w:rsidR="00BE05F8" w:rsidRPr="000E2A52">
        <w:rPr>
          <w:lang w:val="ro-RO"/>
        </w:rPr>
        <w:t>se</w:t>
      </w:r>
      <w:r w:rsidR="00BE05F8" w:rsidRPr="00F4760D">
        <w:rPr>
          <w:lang w:val="ro-RO"/>
        </w:rPr>
        <w:t xml:space="preserve"> prevăd şi în fiecare locuinţă dispusă în subsolul sau demisolul clădirilor de locuit colective. </w:t>
      </w:r>
    </w:p>
    <w:p w:rsidR="00FB30ED" w:rsidRPr="00F4760D" w:rsidRDefault="00FB30ED" w:rsidP="00322E45">
      <w:pPr>
        <w:spacing w:after="0"/>
        <w:ind w:left="0" w:firstLine="567"/>
        <w:rPr>
          <w:lang w:val="ro-RO"/>
        </w:rPr>
      </w:pPr>
      <w:r w:rsidRPr="00F4760D">
        <w:rPr>
          <w:lang w:val="ro-RO"/>
        </w:rPr>
        <w:t xml:space="preserve">3.3.2. (1) Gradul de acoperire cu instalaţii de detectare, semnalizare şi alarmare la incendiu pentru construcţiile şi spaţiile prevăzute la 3.3.1, trebuie să fie cel de </w:t>
      </w:r>
      <w:r w:rsidRPr="00F4760D">
        <w:rPr>
          <w:b/>
          <w:lang w:val="ro-RO"/>
        </w:rPr>
        <w:t xml:space="preserve">acoperire totală cu detectoare de incendiu şi declanşatoare manuale, </w:t>
      </w:r>
      <w:r w:rsidRPr="00F4760D">
        <w:rPr>
          <w:lang w:val="ro-RO"/>
        </w:rPr>
        <w:t>fiind supravegheate toate spaţiile din clădire, cu excepţia celor menţionate la punctul 3.3.3.</w:t>
      </w:r>
    </w:p>
    <w:p w:rsidR="00FB30ED" w:rsidRPr="00F4760D" w:rsidRDefault="00FB30ED" w:rsidP="00322E45">
      <w:pPr>
        <w:spacing w:after="0"/>
        <w:ind w:left="0" w:firstLine="567"/>
        <w:rPr>
          <w:lang w:val="ro-RO"/>
        </w:rPr>
      </w:pPr>
      <w:r w:rsidRPr="00F4760D">
        <w:rPr>
          <w:lang w:val="ro-RO"/>
        </w:rPr>
        <w:t>(2) Pentru celelalte  construcţii şi spaţii care nu sunt indicate la 3.3.1,  gradul de acoperire cu instalaţii de detectare, semnalizare şi alarmare la incendiu poate fi</w:t>
      </w:r>
      <w:r w:rsidR="00322E45" w:rsidRPr="00F4760D">
        <w:rPr>
          <w:lang w:val="ro-RO"/>
        </w:rPr>
        <w:t xml:space="preserve"> </w:t>
      </w:r>
      <w:r w:rsidRPr="00F4760D">
        <w:rPr>
          <w:lang w:val="ro-RO"/>
        </w:rPr>
        <w:t>şi/sau:</w:t>
      </w:r>
    </w:p>
    <w:p w:rsidR="00FB30ED" w:rsidRPr="00F4760D" w:rsidRDefault="00FB30ED" w:rsidP="00322E45">
      <w:pPr>
        <w:pStyle w:val="ListParagraph"/>
        <w:numPr>
          <w:ilvl w:val="0"/>
          <w:numId w:val="21"/>
        </w:numPr>
        <w:spacing w:after="0"/>
        <w:rPr>
          <w:lang w:val="ro-RO"/>
        </w:rPr>
      </w:pPr>
      <w:r w:rsidRPr="00F4760D">
        <w:rPr>
          <w:b/>
          <w:lang w:val="ro-RO"/>
        </w:rPr>
        <w:lastRenderedPageBreak/>
        <w:t>acoperire parţială</w:t>
      </w:r>
      <w:r w:rsidRPr="00F4760D">
        <w:rPr>
          <w:lang w:val="ro-RO"/>
        </w:rPr>
        <w:t>: este supravegheat,</w:t>
      </w:r>
      <w:r w:rsidR="00F16DA2" w:rsidRPr="00F4760D">
        <w:rPr>
          <w:lang w:val="ro-RO"/>
        </w:rPr>
        <w:t xml:space="preserve"> la </w:t>
      </w:r>
      <w:r w:rsidRPr="00F4760D">
        <w:rPr>
          <w:lang w:val="ro-RO"/>
        </w:rPr>
        <w:t>fel ca şi în cazul acoperirii totale, numai spaţiul vulnerabil la incendiu;</w:t>
      </w:r>
    </w:p>
    <w:p w:rsidR="00FB30ED" w:rsidRPr="00F4760D" w:rsidRDefault="00FB30ED" w:rsidP="00322E45">
      <w:pPr>
        <w:numPr>
          <w:ilvl w:val="0"/>
          <w:numId w:val="21"/>
        </w:numPr>
        <w:tabs>
          <w:tab w:val="left" w:pos="90"/>
        </w:tabs>
        <w:spacing w:after="0"/>
        <w:rPr>
          <w:lang w:val="ro-RO"/>
        </w:rPr>
      </w:pPr>
      <w:r w:rsidRPr="00F4760D">
        <w:rPr>
          <w:b/>
          <w:lang w:val="ro-RO"/>
        </w:rPr>
        <w:t>acoperire locală</w:t>
      </w:r>
      <w:r w:rsidRPr="00F4760D">
        <w:rPr>
          <w:lang w:val="ro-RO"/>
        </w:rPr>
        <w:t>: este supravegheat un echipament sau o zonă locală care nu trebuie izolată de restul clădirii, ea oferind un nivel mai ridicat de protecţie decât cel al clădirii.</w:t>
      </w:r>
    </w:p>
    <w:p w:rsidR="00FB30ED" w:rsidRPr="00F4760D" w:rsidRDefault="00FB30ED" w:rsidP="00322E45">
      <w:pPr>
        <w:suppressAutoHyphens/>
        <w:spacing w:after="0"/>
        <w:ind w:left="0" w:firstLine="567"/>
        <w:rPr>
          <w:lang w:val="ro-RO"/>
        </w:rPr>
      </w:pPr>
      <w:r w:rsidRPr="00F4760D">
        <w:rPr>
          <w:lang w:val="ro-RO"/>
        </w:rPr>
        <w:t xml:space="preserve">(3) Gradul de </w:t>
      </w:r>
      <w:r w:rsidRPr="00F4760D">
        <w:rPr>
          <w:b/>
          <w:lang w:val="ro-RO"/>
        </w:rPr>
        <w:t>acoperire parţială şi locală</w:t>
      </w:r>
      <w:r w:rsidRPr="00F4760D">
        <w:rPr>
          <w:lang w:val="ro-RO"/>
        </w:rPr>
        <w:t xml:space="preserve"> cu instalaţii de detectare, semnalizare şi alarmare la incendiu se stabileşte de către proiectant.”</w:t>
      </w:r>
    </w:p>
    <w:p w:rsidR="00FB30ED" w:rsidRPr="00F4760D" w:rsidRDefault="00FB30ED" w:rsidP="00322E45">
      <w:pPr>
        <w:suppressAutoHyphens/>
        <w:spacing w:after="0"/>
        <w:ind w:left="0"/>
        <w:rPr>
          <w:lang w:val="ro-RO"/>
        </w:rPr>
      </w:pPr>
    </w:p>
    <w:p w:rsidR="00FB30ED" w:rsidRPr="00F4760D" w:rsidRDefault="00322E45" w:rsidP="0090586D">
      <w:pPr>
        <w:pStyle w:val="ListParagraph"/>
        <w:numPr>
          <w:ilvl w:val="0"/>
          <w:numId w:val="2"/>
        </w:numPr>
        <w:spacing w:after="0"/>
        <w:ind w:left="924" w:hanging="357"/>
        <w:rPr>
          <w:b/>
          <w:bCs/>
          <w:lang w:val="ro-RO"/>
        </w:rPr>
      </w:pPr>
      <w:r w:rsidRPr="00F4760D">
        <w:rPr>
          <w:b/>
          <w:bCs/>
          <w:lang w:val="ro-RO"/>
        </w:rPr>
        <w:t>L</w:t>
      </w:r>
      <w:r w:rsidR="00A0364B" w:rsidRPr="00F4760D">
        <w:rPr>
          <w:b/>
          <w:bCs/>
          <w:lang w:val="ro-RO"/>
        </w:rPr>
        <w:t xml:space="preserve">a </w:t>
      </w:r>
      <w:r w:rsidR="001A1A93">
        <w:rPr>
          <w:b/>
          <w:bCs/>
          <w:lang w:val="ro-RO"/>
        </w:rPr>
        <w:t>punctul</w:t>
      </w:r>
      <w:r w:rsidR="00FB30ED" w:rsidRPr="00F4760D">
        <w:rPr>
          <w:b/>
          <w:bCs/>
          <w:lang w:val="ro-RO"/>
        </w:rPr>
        <w:t xml:space="preserve"> 3.3.6</w:t>
      </w:r>
      <w:r w:rsidR="00A0364B" w:rsidRPr="00F4760D">
        <w:rPr>
          <w:b/>
          <w:bCs/>
          <w:lang w:val="ro-RO"/>
        </w:rPr>
        <w:t>,</w:t>
      </w:r>
      <w:r w:rsidR="00FB30ED" w:rsidRPr="00F4760D">
        <w:rPr>
          <w:b/>
          <w:bCs/>
          <w:lang w:val="ro-RO"/>
        </w:rPr>
        <w:t xml:space="preserve"> </w:t>
      </w:r>
      <w:r w:rsidR="00A0364B" w:rsidRPr="00F4760D">
        <w:rPr>
          <w:b/>
          <w:bCs/>
          <w:lang w:val="ro-RO"/>
        </w:rPr>
        <w:t xml:space="preserve">litera c) </w:t>
      </w:r>
      <w:r w:rsidR="00FB30ED" w:rsidRPr="00F4760D">
        <w:rPr>
          <w:b/>
          <w:bCs/>
          <w:lang w:val="ro-RO"/>
        </w:rPr>
        <w:t>se modifică ş</w:t>
      </w:r>
      <w:r w:rsidR="00A0364B" w:rsidRPr="00F4760D">
        <w:rPr>
          <w:b/>
          <w:bCs/>
          <w:lang w:val="ro-RO"/>
        </w:rPr>
        <w:t>i va avea următorul cuprins:</w:t>
      </w:r>
    </w:p>
    <w:p w:rsidR="00FB30ED" w:rsidRPr="00F4760D" w:rsidRDefault="00FB30ED" w:rsidP="00322E45">
      <w:pPr>
        <w:spacing w:after="0"/>
        <w:ind w:left="0" w:firstLine="567"/>
        <w:rPr>
          <w:lang w:val="ro-RO"/>
        </w:rPr>
      </w:pPr>
      <w:r w:rsidRPr="00F4760D">
        <w:rPr>
          <w:lang w:val="ro-RO"/>
        </w:rPr>
        <w:t>„c) ECS trebuie să dispună de afişaj de semna</w:t>
      </w:r>
      <w:r w:rsidR="00322E45" w:rsidRPr="00F4760D">
        <w:rPr>
          <w:lang w:val="ro-RO"/>
        </w:rPr>
        <w:t>lizare sinoptic</w:t>
      </w:r>
      <w:r w:rsidR="001C41FA" w:rsidRPr="00F4760D">
        <w:rPr>
          <w:lang w:val="ro-RO"/>
        </w:rPr>
        <w:t>,</w:t>
      </w:r>
      <w:r w:rsidR="00322E45" w:rsidRPr="00F4760D">
        <w:rPr>
          <w:lang w:val="ro-RO"/>
        </w:rPr>
        <w:t xml:space="preserve"> iar cele cu afiş</w:t>
      </w:r>
      <w:r w:rsidRPr="00F4760D">
        <w:rPr>
          <w:lang w:val="ro-RO"/>
        </w:rPr>
        <w:t>aj al</w:t>
      </w:r>
      <w:r w:rsidR="00322E45" w:rsidRPr="00F4760D">
        <w:rPr>
          <w:lang w:val="ro-RO"/>
        </w:rPr>
        <w:t>fanumeric cu posibilitatea afişă</w:t>
      </w:r>
      <w:r w:rsidRPr="00F4760D">
        <w:rPr>
          <w:lang w:val="ro-RO"/>
        </w:rPr>
        <w:t>rii mesajelor şi în limba română. Memoria de evenimente va putea fi descărcată sau citită pe afişajul local.”</w:t>
      </w:r>
    </w:p>
    <w:p w:rsidR="00FB30ED" w:rsidRPr="00F4760D" w:rsidRDefault="00FB30ED" w:rsidP="00A0364B">
      <w:pPr>
        <w:suppressAutoHyphens/>
        <w:spacing w:after="0"/>
        <w:ind w:left="0"/>
        <w:rPr>
          <w:lang w:val="ro-RO"/>
        </w:rPr>
      </w:pPr>
    </w:p>
    <w:p w:rsidR="00FB30ED" w:rsidRPr="00F4760D" w:rsidRDefault="001A1A93" w:rsidP="0090586D">
      <w:pPr>
        <w:pStyle w:val="ListParagraph"/>
        <w:numPr>
          <w:ilvl w:val="0"/>
          <w:numId w:val="2"/>
        </w:numPr>
        <w:spacing w:after="0"/>
        <w:ind w:left="924" w:hanging="357"/>
        <w:rPr>
          <w:b/>
          <w:bCs/>
          <w:lang w:val="ro-RO"/>
        </w:rPr>
      </w:pPr>
      <w:r>
        <w:rPr>
          <w:b/>
          <w:bCs/>
          <w:lang w:val="ro-RO"/>
        </w:rPr>
        <w:t>Punctul</w:t>
      </w:r>
      <w:r w:rsidR="00FB30ED" w:rsidRPr="00F4760D">
        <w:rPr>
          <w:b/>
          <w:bCs/>
          <w:lang w:val="ro-RO"/>
        </w:rPr>
        <w:t xml:space="preserve"> 3.3.13</w:t>
      </w:r>
      <w:r w:rsidR="001A2315" w:rsidRPr="00F4760D">
        <w:rPr>
          <w:b/>
          <w:bCs/>
          <w:lang w:val="ro-RO"/>
        </w:rPr>
        <w:t xml:space="preserve"> </w:t>
      </w:r>
      <w:r w:rsidR="00FB30ED" w:rsidRPr="00F4760D">
        <w:rPr>
          <w:b/>
          <w:bCs/>
          <w:lang w:val="ro-RO"/>
        </w:rPr>
        <w:t>se modifică şi v</w:t>
      </w:r>
      <w:r w:rsidR="00543CA8" w:rsidRPr="00F4760D">
        <w:rPr>
          <w:b/>
          <w:bCs/>
          <w:lang w:val="ro-RO"/>
        </w:rPr>
        <w:t>a</w:t>
      </w:r>
      <w:r w:rsidR="00FB30ED" w:rsidRPr="00F4760D">
        <w:rPr>
          <w:b/>
          <w:bCs/>
          <w:lang w:val="ro-RO"/>
        </w:rPr>
        <w:t xml:space="preserve"> avea următorul cuprins:</w:t>
      </w:r>
    </w:p>
    <w:p w:rsidR="00FB30ED" w:rsidRPr="00F4760D" w:rsidRDefault="00FB30ED" w:rsidP="00A0364B">
      <w:pPr>
        <w:spacing w:after="0"/>
        <w:ind w:left="0" w:firstLine="567"/>
        <w:rPr>
          <w:shd w:val="clear" w:color="auto" w:fill="FFFFFF"/>
          <w:lang w:val="en-GB"/>
        </w:rPr>
      </w:pPr>
      <w:r w:rsidRPr="00F4760D">
        <w:rPr>
          <w:lang w:val="ro-RO"/>
        </w:rPr>
        <w:t>„</w:t>
      </w:r>
      <w:r w:rsidR="00A0364B" w:rsidRPr="00F4760D">
        <w:rPr>
          <w:lang w:val="ro-RO"/>
        </w:rPr>
        <w:t xml:space="preserve">3.3.13 </w:t>
      </w:r>
      <w:r w:rsidRPr="00F4760D">
        <w:rPr>
          <w:shd w:val="clear" w:color="auto" w:fill="FFFFFF"/>
          <w:lang w:val="ro-RO"/>
        </w:rPr>
        <w:t>La o cale de transmisie se pot conecta dispozitive amplasate pe o suprafață desfășurată a construcției de maximum 6000 mp.</w:t>
      </w:r>
      <w:r w:rsidR="0061575D" w:rsidRPr="00F4760D">
        <w:rPr>
          <w:lang w:val="ro-RO"/>
        </w:rPr>
        <w:t>”</w:t>
      </w:r>
    </w:p>
    <w:p w:rsidR="00543CA8" w:rsidRPr="00F4760D" w:rsidRDefault="00543CA8" w:rsidP="00A0364B">
      <w:pPr>
        <w:spacing w:after="0"/>
        <w:ind w:left="0" w:firstLine="567"/>
        <w:rPr>
          <w:lang w:val="ro-RO"/>
        </w:rPr>
      </w:pPr>
    </w:p>
    <w:p w:rsidR="00FB30ED" w:rsidRPr="00F4760D" w:rsidRDefault="001A1A93" w:rsidP="00543CA8">
      <w:pPr>
        <w:pStyle w:val="ListParagraph"/>
        <w:numPr>
          <w:ilvl w:val="0"/>
          <w:numId w:val="2"/>
        </w:numPr>
        <w:spacing w:after="0"/>
        <w:ind w:left="924" w:hanging="357"/>
        <w:rPr>
          <w:b/>
          <w:bCs/>
          <w:lang w:val="ro-RO"/>
        </w:rPr>
      </w:pPr>
      <w:r>
        <w:rPr>
          <w:b/>
          <w:bCs/>
          <w:lang w:val="ro-RO"/>
        </w:rPr>
        <w:t>Punctu</w:t>
      </w:r>
      <w:r w:rsidR="00543CA8" w:rsidRPr="00F4760D">
        <w:rPr>
          <w:b/>
          <w:bCs/>
          <w:lang w:val="ro-RO"/>
        </w:rPr>
        <w:t>l 3.3.19 se modifică şi va avea următorul cuprins:</w:t>
      </w:r>
    </w:p>
    <w:p w:rsidR="00FB30ED" w:rsidRPr="00F4760D" w:rsidRDefault="00B54DDE" w:rsidP="008719D9">
      <w:pPr>
        <w:suppressAutoHyphens/>
        <w:spacing w:after="0"/>
        <w:ind w:left="0"/>
        <w:rPr>
          <w:lang w:val="ro-RO"/>
        </w:rPr>
      </w:pPr>
      <w:r w:rsidRPr="00F4760D">
        <w:rPr>
          <w:lang w:val="ro-RO"/>
        </w:rPr>
        <w:tab/>
        <w:t>”</w:t>
      </w:r>
      <w:r w:rsidR="008719D9" w:rsidRPr="00F4760D">
        <w:rPr>
          <w:lang w:val="ro-RO"/>
        </w:rPr>
        <w:t xml:space="preserve">3.3.19 La clădirile de locuit foarte înalte, trebuie să se prevadă instalaţii de detectare, semnalizare şi avertizare incendiu obligatoriu pentru </w:t>
      </w:r>
      <w:r w:rsidR="002359B9" w:rsidRPr="00F4760D">
        <w:rPr>
          <w:lang w:val="ro-RO"/>
        </w:rPr>
        <w:t>spaţiile comune precum: circulaţ</w:t>
      </w:r>
      <w:r w:rsidR="008719D9" w:rsidRPr="00F4760D">
        <w:rPr>
          <w:lang w:val="ro-RO"/>
        </w:rPr>
        <w:t>iile (orizontale sau verticale) funcţionale şi de evacuare a utilizatorilor în caz de incendiu (holuri, coridoa</w:t>
      </w:r>
      <w:r w:rsidR="002359B9" w:rsidRPr="00F4760D">
        <w:rPr>
          <w:lang w:val="ro-RO"/>
        </w:rPr>
        <w:t>re, vestibuluri, case de scări/</w:t>
      </w:r>
      <w:r w:rsidR="008719D9" w:rsidRPr="00F4760D">
        <w:rPr>
          <w:lang w:val="ro-RO"/>
        </w:rPr>
        <w:t>scări de evacuare închise, degajamente protejate, tuneluri de evacuare</w:t>
      </w:r>
      <w:r w:rsidR="002359B9" w:rsidRPr="00F4760D">
        <w:rPr>
          <w:lang w:val="ro-RO"/>
        </w:rPr>
        <w:t>,</w:t>
      </w:r>
      <w:r w:rsidR="008719D9" w:rsidRPr="00F4760D">
        <w:rPr>
          <w:lang w:val="ro-RO"/>
        </w:rPr>
        <w:t xml:space="preserve"> etc.), depozite, centrală termică de bloc, etc.”</w:t>
      </w:r>
    </w:p>
    <w:p w:rsidR="008719D9" w:rsidRPr="00F4760D" w:rsidRDefault="008719D9" w:rsidP="008719D9">
      <w:pPr>
        <w:suppressAutoHyphens/>
        <w:spacing w:after="0"/>
        <w:ind w:left="0"/>
        <w:rPr>
          <w:lang w:val="ro-RO"/>
        </w:rPr>
      </w:pPr>
    </w:p>
    <w:p w:rsidR="00FB30ED" w:rsidRPr="000E2A52" w:rsidRDefault="00FB30ED" w:rsidP="0090586D">
      <w:pPr>
        <w:pStyle w:val="ListParagraph"/>
        <w:numPr>
          <w:ilvl w:val="0"/>
          <w:numId w:val="2"/>
        </w:numPr>
        <w:spacing w:after="0"/>
        <w:ind w:left="924" w:hanging="357"/>
        <w:rPr>
          <w:b/>
          <w:bCs/>
          <w:lang w:val="ro-RO"/>
        </w:rPr>
      </w:pPr>
      <w:r w:rsidRPr="000E2A52">
        <w:rPr>
          <w:b/>
          <w:bCs/>
          <w:lang w:val="ro-RO"/>
        </w:rPr>
        <w:t xml:space="preserve">Tabelul 3.4 </w:t>
      </w:r>
      <w:r w:rsidR="00A0364B" w:rsidRPr="000E2A52">
        <w:rPr>
          <w:b/>
          <w:bCs/>
          <w:lang w:val="ro-RO"/>
        </w:rPr>
        <w:t xml:space="preserve">- </w:t>
      </w:r>
      <w:r w:rsidR="00A0364B" w:rsidRPr="000E2A52">
        <w:rPr>
          <w:b/>
          <w:lang w:val="ro-RO"/>
        </w:rPr>
        <w:t>Distanţa maximă orizontală (D</w:t>
      </w:r>
      <w:r w:rsidR="00A0364B" w:rsidRPr="000E2A52">
        <w:rPr>
          <w:b/>
          <w:vertAlign w:val="subscript"/>
          <w:lang w:val="ro-RO"/>
        </w:rPr>
        <w:t>H</w:t>
      </w:r>
      <w:r w:rsidR="00A0364B" w:rsidRPr="000E2A52">
        <w:rPr>
          <w:b/>
          <w:lang w:val="ro-RO"/>
        </w:rPr>
        <w:t>) de la un punct al tavanului la cel mai apropiat detector de fum punctual</w:t>
      </w:r>
      <w:r w:rsidR="008F0A81" w:rsidRPr="000E2A52">
        <w:rPr>
          <w:b/>
          <w:lang w:val="ro-RO"/>
        </w:rPr>
        <w:t xml:space="preserve"> (SR EN 54-7)</w:t>
      </w:r>
      <w:r w:rsidR="00CF42E9" w:rsidRPr="000E2A52">
        <w:rPr>
          <w:b/>
          <w:lang w:val="ro-RO"/>
        </w:rPr>
        <w:t xml:space="preserve"> </w:t>
      </w:r>
      <w:r w:rsidR="00B81A92" w:rsidRPr="000E2A52">
        <w:rPr>
          <w:b/>
          <w:lang w:val="ro-RO"/>
        </w:rPr>
        <w:t>și Tabelul 3.5 – Distanța maximă orizontală (D</w:t>
      </w:r>
      <w:r w:rsidR="00B81A92" w:rsidRPr="000E2A52">
        <w:rPr>
          <w:b/>
          <w:vertAlign w:val="subscript"/>
          <w:lang w:val="ro-RO"/>
        </w:rPr>
        <w:t>H</w:t>
      </w:r>
      <w:r w:rsidR="00B81A92" w:rsidRPr="000E2A52">
        <w:rPr>
          <w:b/>
          <w:lang w:val="ro-RO"/>
        </w:rPr>
        <w:t>) de la un punct al tavanului la cel mai apropiat detector de temperatură</w:t>
      </w:r>
      <w:r w:rsidR="008F0A81" w:rsidRPr="000E2A52">
        <w:rPr>
          <w:b/>
          <w:lang w:val="ro-RO"/>
        </w:rPr>
        <w:t xml:space="preserve"> (SR EM 54-5)</w:t>
      </w:r>
      <w:r w:rsidR="00B81A92" w:rsidRPr="000E2A52">
        <w:rPr>
          <w:b/>
          <w:lang w:val="ro-RO"/>
        </w:rPr>
        <w:t xml:space="preserve"> </w:t>
      </w:r>
      <w:r w:rsidR="00CF42E9" w:rsidRPr="000E2A52">
        <w:rPr>
          <w:b/>
          <w:lang w:val="ro-RO"/>
        </w:rPr>
        <w:t>-</w:t>
      </w:r>
      <w:r w:rsidR="00A0364B" w:rsidRPr="000E2A52">
        <w:rPr>
          <w:b/>
          <w:lang w:val="ro-RO"/>
        </w:rPr>
        <w:t xml:space="preserve"> </w:t>
      </w:r>
      <w:r w:rsidR="00B81A92" w:rsidRPr="000E2A52">
        <w:rPr>
          <w:b/>
          <w:bCs/>
          <w:lang w:val="ro-RO"/>
        </w:rPr>
        <w:t>se modifică şi vor</w:t>
      </w:r>
      <w:r w:rsidRPr="000E2A52">
        <w:rPr>
          <w:b/>
          <w:bCs/>
          <w:lang w:val="ro-RO"/>
        </w:rPr>
        <w:t xml:space="preserve"> avea următorul cuprins:</w:t>
      </w:r>
    </w:p>
    <w:p w:rsidR="00A0364B" w:rsidRPr="00F4760D" w:rsidRDefault="00A0364B" w:rsidP="00A0364B">
      <w:pPr>
        <w:spacing w:after="0"/>
        <w:ind w:left="0"/>
        <w:rPr>
          <w:b/>
          <w:lang w:val="ro-RO"/>
        </w:rPr>
      </w:pPr>
    </w:p>
    <w:p w:rsidR="006D45E2" w:rsidRPr="00F30263" w:rsidRDefault="006D45E2" w:rsidP="006D45E2">
      <w:pPr>
        <w:ind w:left="2061" w:right="1417" w:hanging="218"/>
        <w:jc w:val="center"/>
        <w:rPr>
          <w:color w:val="000000"/>
          <w:shd w:val="clear" w:color="auto" w:fill="FFFFFF"/>
          <w:lang w:val="ro-RO"/>
        </w:rPr>
      </w:pPr>
      <w:r w:rsidRPr="00F30263">
        <w:rPr>
          <w:color w:val="000000"/>
          <w:shd w:val="clear" w:color="auto" w:fill="FFFFFF"/>
          <w:lang w:val="ro-RO"/>
        </w:rPr>
        <w:t>Tabelul 3.4 – Distanţa maximă orizontală (D</w:t>
      </w:r>
      <w:r w:rsidRPr="000B33C9">
        <w:rPr>
          <w:color w:val="000000"/>
          <w:shd w:val="clear" w:color="auto" w:fill="FFFFFF"/>
          <w:vertAlign w:val="subscript"/>
          <w:lang w:val="ro-RO"/>
        </w:rPr>
        <w:t>H</w:t>
      </w:r>
      <w:r w:rsidRPr="00F30263">
        <w:rPr>
          <w:color w:val="000000"/>
          <w:shd w:val="clear" w:color="auto" w:fill="FFFFFF"/>
          <w:lang w:val="ro-RO"/>
        </w:rPr>
        <w:t>) de la un punct al tavanului la cel mai apropiat detector de fum punctual</w:t>
      </w:r>
      <w:r>
        <w:rPr>
          <w:color w:val="000000"/>
          <w:shd w:val="clear" w:color="auto" w:fill="FFFFFF"/>
          <w:lang w:val="ro-RO"/>
        </w:rPr>
        <w:t xml:space="preserve"> (SR EN 54-7)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701"/>
        <w:gridCol w:w="1701"/>
      </w:tblGrid>
      <w:tr w:rsidR="006D45E2" w:rsidRPr="00F4760D" w:rsidTr="00B01E97">
        <w:trPr>
          <w:trHeight w:val="413"/>
          <w:jc w:val="center"/>
        </w:trPr>
        <w:tc>
          <w:tcPr>
            <w:tcW w:w="3072" w:type="dxa"/>
            <w:vMerge w:val="restart"/>
            <w:shd w:val="clear" w:color="auto" w:fill="auto"/>
          </w:tcPr>
          <w:p w:rsidR="006D45E2" w:rsidRPr="00F4760D" w:rsidRDefault="006D45E2" w:rsidP="00B01E97">
            <w:pPr>
              <w:spacing w:after="0" w:line="240" w:lineRule="auto"/>
              <w:ind w:left="0"/>
              <w:jc w:val="center"/>
              <w:rPr>
                <w:lang w:val="ro-RO"/>
              </w:rPr>
            </w:pPr>
            <w:r w:rsidRPr="00F4760D">
              <w:rPr>
                <w:lang w:val="ro-RO"/>
              </w:rPr>
              <w:t>Suprafaţa maximă supravegheată de detector, A</w:t>
            </w:r>
            <w:r w:rsidRPr="00F4760D">
              <w:rPr>
                <w:vertAlign w:val="subscript"/>
                <w:lang w:val="ro-RO"/>
              </w:rPr>
              <w:t>max</w:t>
            </w:r>
            <w:r w:rsidRPr="00F4760D">
              <w:rPr>
                <w:lang w:val="ro-RO"/>
              </w:rPr>
              <w:t xml:space="preserve"> (m</w:t>
            </w:r>
            <w:r w:rsidRPr="00F4760D">
              <w:rPr>
                <w:vertAlign w:val="superscript"/>
                <w:lang w:val="ro-RO"/>
              </w:rPr>
              <w:t>2</w:t>
            </w:r>
            <w:r w:rsidRPr="00F4760D">
              <w:rPr>
                <w:lang w:val="ro-RO"/>
              </w:rPr>
              <w:t>)</w:t>
            </w:r>
          </w:p>
        </w:tc>
        <w:tc>
          <w:tcPr>
            <w:tcW w:w="3402" w:type="dxa"/>
            <w:gridSpan w:val="2"/>
            <w:shd w:val="clear" w:color="auto" w:fill="auto"/>
          </w:tcPr>
          <w:p w:rsidR="006D45E2" w:rsidRPr="00F4760D" w:rsidRDefault="006D45E2" w:rsidP="00B01E97">
            <w:pPr>
              <w:spacing w:after="0" w:line="240" w:lineRule="auto"/>
              <w:ind w:left="0" w:firstLine="58"/>
              <w:jc w:val="center"/>
              <w:rPr>
                <w:lang w:val="ro-RO"/>
              </w:rPr>
            </w:pPr>
            <w:r w:rsidRPr="00F4760D">
              <w:rPr>
                <w:lang w:val="ro-RO"/>
              </w:rPr>
              <w:t>D</w:t>
            </w:r>
            <w:r w:rsidRPr="00F4760D">
              <w:rPr>
                <w:vertAlign w:val="subscript"/>
                <w:lang w:val="ro-RO"/>
              </w:rPr>
              <w:t>H</w:t>
            </w:r>
            <w:r w:rsidRPr="00F4760D">
              <w:rPr>
                <w:lang w:val="ro-RO"/>
              </w:rPr>
              <w:t xml:space="preserve"> (m)</w:t>
            </w:r>
          </w:p>
        </w:tc>
      </w:tr>
      <w:tr w:rsidR="006D45E2" w:rsidRPr="00F4760D" w:rsidTr="00B01E97">
        <w:trPr>
          <w:trHeight w:val="286"/>
          <w:jc w:val="center"/>
        </w:trPr>
        <w:tc>
          <w:tcPr>
            <w:tcW w:w="3072" w:type="dxa"/>
            <w:vMerge/>
            <w:shd w:val="clear" w:color="auto" w:fill="auto"/>
          </w:tcPr>
          <w:p w:rsidR="006D45E2" w:rsidRPr="00F4760D" w:rsidRDefault="006D45E2" w:rsidP="00B01E97">
            <w:pPr>
              <w:spacing w:after="0" w:line="240" w:lineRule="auto"/>
              <w:jc w:val="center"/>
              <w:rPr>
                <w:lang w:val="ro-RO"/>
              </w:rPr>
            </w:pPr>
          </w:p>
        </w:tc>
        <w:tc>
          <w:tcPr>
            <w:tcW w:w="1701" w:type="dxa"/>
            <w:shd w:val="clear" w:color="auto" w:fill="auto"/>
            <w:vAlign w:val="center"/>
          </w:tcPr>
          <w:p w:rsidR="006D45E2" w:rsidRPr="00F4760D" w:rsidRDefault="006D45E2" w:rsidP="00B01E97">
            <w:pPr>
              <w:spacing w:after="0" w:line="240" w:lineRule="auto"/>
              <w:ind w:left="19"/>
              <w:jc w:val="center"/>
              <w:rPr>
                <w:lang w:val="ro-RO"/>
              </w:rPr>
            </w:pPr>
            <w:r w:rsidRPr="00F4760D">
              <w:rPr>
                <w:lang w:val="ro-RO"/>
              </w:rPr>
              <w:t>α</w:t>
            </w:r>
            <w:r w:rsidRPr="00F4760D">
              <w:rPr>
                <w:vertAlign w:val="superscript"/>
                <w:lang w:val="ro-RO"/>
              </w:rPr>
              <w:t>(*)</w:t>
            </w:r>
            <w:r w:rsidRPr="00F4760D">
              <w:rPr>
                <w:lang w:val="ro-RO"/>
              </w:rPr>
              <w:t xml:space="preserve"> ≤ 20º</w:t>
            </w:r>
          </w:p>
        </w:tc>
        <w:tc>
          <w:tcPr>
            <w:tcW w:w="1701" w:type="dxa"/>
            <w:shd w:val="clear" w:color="auto" w:fill="auto"/>
            <w:vAlign w:val="center"/>
          </w:tcPr>
          <w:p w:rsidR="006D45E2" w:rsidRPr="00F4760D" w:rsidRDefault="006D45E2" w:rsidP="00B01E97">
            <w:pPr>
              <w:spacing w:after="0" w:line="240" w:lineRule="auto"/>
              <w:ind w:left="19"/>
              <w:jc w:val="center"/>
              <w:rPr>
                <w:lang w:val="ro-RO"/>
              </w:rPr>
            </w:pPr>
            <w:r w:rsidRPr="00F4760D">
              <w:rPr>
                <w:lang w:val="ro-RO"/>
              </w:rPr>
              <w:t>α</w:t>
            </w:r>
            <w:r w:rsidRPr="00F4760D">
              <w:rPr>
                <w:vertAlign w:val="superscript"/>
                <w:lang w:val="ro-RO"/>
              </w:rPr>
              <w:t>(*)</w:t>
            </w:r>
            <w:r w:rsidRPr="00F4760D">
              <w:rPr>
                <w:lang w:val="ro-RO"/>
              </w:rPr>
              <w:t xml:space="preserve"> &gt; 20º</w:t>
            </w:r>
          </w:p>
        </w:tc>
      </w:tr>
      <w:tr w:rsidR="006D45E2" w:rsidRPr="00F4760D" w:rsidTr="00B01E97">
        <w:trPr>
          <w:jc w:val="center"/>
        </w:trPr>
        <w:tc>
          <w:tcPr>
            <w:tcW w:w="3072" w:type="dxa"/>
            <w:shd w:val="clear" w:color="auto" w:fill="auto"/>
          </w:tcPr>
          <w:p w:rsidR="006D45E2" w:rsidRPr="00F4760D" w:rsidRDefault="006D45E2" w:rsidP="00B01E97">
            <w:pPr>
              <w:spacing w:after="0" w:line="240" w:lineRule="auto"/>
              <w:ind w:left="11"/>
              <w:jc w:val="center"/>
              <w:rPr>
                <w:lang w:val="ro-RO"/>
              </w:rPr>
            </w:pPr>
            <w:r>
              <w:rPr>
                <w:rFonts w:ascii="Arial Narrow" w:hAnsi="Arial Narrow"/>
                <w:lang w:val="ro-RO"/>
              </w:rPr>
              <w:t>≤</w:t>
            </w:r>
            <w:r w:rsidRPr="00F4760D">
              <w:rPr>
                <w:lang w:val="ro-RO"/>
              </w:rPr>
              <w:t>10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2,3</w:t>
            </w:r>
          </w:p>
        </w:tc>
        <w:tc>
          <w:tcPr>
            <w:tcW w:w="1701" w:type="dxa"/>
            <w:shd w:val="clear" w:color="auto" w:fill="auto"/>
          </w:tcPr>
          <w:p w:rsidR="006D45E2" w:rsidRPr="00F4760D" w:rsidRDefault="006D45E2" w:rsidP="00B01E97">
            <w:pPr>
              <w:spacing w:after="0" w:line="240" w:lineRule="auto"/>
              <w:ind w:left="11"/>
              <w:jc w:val="center"/>
              <w:rPr>
                <w:lang w:val="ro-RO"/>
              </w:rPr>
            </w:pPr>
            <w:r>
              <w:rPr>
                <w:lang w:val="ro-RO"/>
              </w:rPr>
              <w:t>2,9</w:t>
            </w:r>
          </w:p>
        </w:tc>
      </w:tr>
      <w:tr w:rsidR="006D45E2" w:rsidRPr="00F4760D" w:rsidTr="00B01E97">
        <w:trPr>
          <w:jc w:val="center"/>
        </w:trPr>
        <w:tc>
          <w:tcPr>
            <w:tcW w:w="3072" w:type="dxa"/>
            <w:shd w:val="clear" w:color="auto" w:fill="auto"/>
          </w:tcPr>
          <w:p w:rsidR="006D45E2" w:rsidRPr="00F4760D" w:rsidRDefault="006D45E2" w:rsidP="00B01E97">
            <w:pPr>
              <w:spacing w:after="0" w:line="240" w:lineRule="auto"/>
              <w:ind w:left="11"/>
              <w:jc w:val="center"/>
              <w:rPr>
                <w:lang w:val="ro-RO"/>
              </w:rPr>
            </w:pPr>
            <w:r>
              <w:rPr>
                <w:lang w:val="ro-RO"/>
              </w:rPr>
              <w:t>10&lt;Amax</w:t>
            </w:r>
            <w:r>
              <w:rPr>
                <w:rFonts w:ascii="Arial Narrow" w:hAnsi="Arial Narrow"/>
                <w:lang w:val="ro-RO"/>
              </w:rPr>
              <w:t>≤</w:t>
            </w:r>
            <w:r w:rsidRPr="00F4760D">
              <w:rPr>
                <w:lang w:val="ro-RO"/>
              </w:rPr>
              <w:t>20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3,3</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4,1</w:t>
            </w:r>
          </w:p>
        </w:tc>
      </w:tr>
      <w:tr w:rsidR="006D45E2" w:rsidRPr="00F4760D" w:rsidTr="00B01E97">
        <w:trPr>
          <w:jc w:val="center"/>
        </w:trPr>
        <w:tc>
          <w:tcPr>
            <w:tcW w:w="3072" w:type="dxa"/>
            <w:shd w:val="clear" w:color="auto" w:fill="auto"/>
          </w:tcPr>
          <w:p w:rsidR="006D45E2" w:rsidRPr="00F4760D" w:rsidRDefault="006D45E2" w:rsidP="00B01E97">
            <w:pPr>
              <w:spacing w:after="0" w:line="240" w:lineRule="auto"/>
              <w:ind w:left="11"/>
              <w:jc w:val="center"/>
              <w:rPr>
                <w:lang w:val="ro-RO"/>
              </w:rPr>
            </w:pPr>
            <w:r>
              <w:rPr>
                <w:lang w:val="ro-RO"/>
              </w:rPr>
              <w:t>20&lt;Amax</w:t>
            </w:r>
            <w:r>
              <w:rPr>
                <w:rFonts w:ascii="Arial Narrow" w:hAnsi="Arial Narrow"/>
                <w:lang w:val="ro-RO"/>
              </w:rPr>
              <w:t>≤</w:t>
            </w:r>
            <w:r w:rsidRPr="00F4760D">
              <w:rPr>
                <w:lang w:val="ro-RO"/>
              </w:rPr>
              <w:t>30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4,1</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5,0</w:t>
            </w:r>
          </w:p>
        </w:tc>
      </w:tr>
      <w:tr w:rsidR="006D45E2" w:rsidRPr="00F4760D" w:rsidTr="00B01E97">
        <w:trPr>
          <w:jc w:val="center"/>
        </w:trPr>
        <w:tc>
          <w:tcPr>
            <w:tcW w:w="3072" w:type="dxa"/>
            <w:shd w:val="clear" w:color="auto" w:fill="auto"/>
          </w:tcPr>
          <w:p w:rsidR="006D45E2" w:rsidRPr="00F4760D" w:rsidRDefault="006D45E2" w:rsidP="006D45E2">
            <w:pPr>
              <w:spacing w:after="0" w:line="240" w:lineRule="auto"/>
              <w:ind w:left="11"/>
              <w:jc w:val="center"/>
              <w:rPr>
                <w:lang w:val="ro-RO"/>
              </w:rPr>
            </w:pPr>
            <w:r>
              <w:rPr>
                <w:lang w:val="ro-RO"/>
              </w:rPr>
              <w:t>30&lt;Amax</w:t>
            </w:r>
            <w:r w:rsidRPr="006D45E2">
              <w:rPr>
                <w:lang w:val="ro-RO"/>
              </w:rPr>
              <w:t>≤</w:t>
            </w:r>
            <w:r w:rsidRPr="00F4760D">
              <w:rPr>
                <w:lang w:val="ro-RO"/>
              </w:rPr>
              <w:t>40</w:t>
            </w:r>
          </w:p>
        </w:tc>
        <w:tc>
          <w:tcPr>
            <w:tcW w:w="1701" w:type="dxa"/>
            <w:shd w:val="clear" w:color="auto" w:fill="auto"/>
          </w:tcPr>
          <w:p w:rsidR="006D45E2" w:rsidRPr="00F4760D" w:rsidRDefault="006D45E2" w:rsidP="006D45E2">
            <w:pPr>
              <w:spacing w:after="0" w:line="240" w:lineRule="auto"/>
              <w:ind w:left="11"/>
              <w:jc w:val="center"/>
              <w:rPr>
                <w:lang w:val="ro-RO"/>
              </w:rPr>
            </w:pPr>
            <w:r w:rsidRPr="00F4760D">
              <w:rPr>
                <w:lang w:val="ro-RO"/>
              </w:rPr>
              <w:t>4,7</w:t>
            </w:r>
          </w:p>
        </w:tc>
        <w:tc>
          <w:tcPr>
            <w:tcW w:w="1701" w:type="dxa"/>
            <w:shd w:val="clear" w:color="auto" w:fill="auto"/>
          </w:tcPr>
          <w:p w:rsidR="006D45E2" w:rsidRPr="00F4760D" w:rsidRDefault="006D45E2" w:rsidP="006D45E2">
            <w:pPr>
              <w:spacing w:after="0" w:line="240" w:lineRule="auto"/>
              <w:ind w:left="11"/>
              <w:jc w:val="center"/>
              <w:rPr>
                <w:lang w:val="ro-RO"/>
              </w:rPr>
            </w:pPr>
            <w:r w:rsidRPr="00F4760D">
              <w:rPr>
                <w:lang w:val="ro-RO"/>
              </w:rPr>
              <w:t>5,8</w:t>
            </w:r>
          </w:p>
        </w:tc>
      </w:tr>
      <w:tr w:rsidR="006D45E2" w:rsidRPr="00F4760D" w:rsidTr="00B01E97">
        <w:trPr>
          <w:jc w:val="center"/>
        </w:trPr>
        <w:tc>
          <w:tcPr>
            <w:tcW w:w="3072" w:type="dxa"/>
            <w:shd w:val="clear" w:color="auto" w:fill="auto"/>
          </w:tcPr>
          <w:p w:rsidR="006D45E2" w:rsidRPr="00F4760D" w:rsidRDefault="006D45E2" w:rsidP="00B01E97">
            <w:pPr>
              <w:spacing w:after="0" w:line="240" w:lineRule="auto"/>
              <w:ind w:left="11"/>
              <w:jc w:val="center"/>
              <w:rPr>
                <w:lang w:val="ro-RO"/>
              </w:rPr>
            </w:pPr>
            <w:r>
              <w:rPr>
                <w:lang w:val="ro-RO"/>
              </w:rPr>
              <w:t>40&lt;Amax</w:t>
            </w:r>
            <w:r>
              <w:rPr>
                <w:rFonts w:ascii="Arial Narrow" w:hAnsi="Arial Narrow"/>
                <w:lang w:val="ro-RO"/>
              </w:rPr>
              <w:t>≤</w:t>
            </w:r>
            <w:r w:rsidRPr="00F4760D">
              <w:rPr>
                <w:lang w:val="ro-RO"/>
              </w:rPr>
              <w:t>50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5,2</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6,5</w:t>
            </w:r>
          </w:p>
        </w:tc>
      </w:tr>
      <w:tr w:rsidR="006D45E2" w:rsidRPr="00F4760D" w:rsidTr="00B01E97">
        <w:trPr>
          <w:jc w:val="center"/>
        </w:trPr>
        <w:tc>
          <w:tcPr>
            <w:tcW w:w="3072" w:type="dxa"/>
            <w:shd w:val="clear" w:color="auto" w:fill="auto"/>
          </w:tcPr>
          <w:p w:rsidR="006D45E2" w:rsidRPr="00F4760D" w:rsidRDefault="006D45E2" w:rsidP="00B01E97">
            <w:pPr>
              <w:spacing w:after="0" w:line="240" w:lineRule="auto"/>
              <w:ind w:left="11"/>
              <w:jc w:val="center"/>
              <w:rPr>
                <w:lang w:val="ro-RO"/>
              </w:rPr>
            </w:pPr>
            <w:r>
              <w:rPr>
                <w:lang w:val="ro-RO"/>
              </w:rPr>
              <w:t>50&lt;Amax</w:t>
            </w:r>
            <w:r>
              <w:rPr>
                <w:rFonts w:ascii="Arial Narrow" w:hAnsi="Arial Narrow"/>
                <w:lang w:val="ro-RO"/>
              </w:rPr>
              <w:t>≤</w:t>
            </w:r>
            <w:r w:rsidRPr="00F4760D">
              <w:rPr>
                <w:lang w:val="ro-RO"/>
              </w:rPr>
              <w:t>60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5,7</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7,1</w:t>
            </w:r>
          </w:p>
        </w:tc>
      </w:tr>
      <w:tr w:rsidR="006D45E2" w:rsidRPr="00F4760D" w:rsidTr="00B01E97">
        <w:trPr>
          <w:jc w:val="center"/>
        </w:trPr>
        <w:tc>
          <w:tcPr>
            <w:tcW w:w="3072" w:type="dxa"/>
            <w:shd w:val="clear" w:color="auto" w:fill="auto"/>
          </w:tcPr>
          <w:p w:rsidR="006D45E2" w:rsidRPr="00F4760D" w:rsidRDefault="006D45E2" w:rsidP="00B01E97">
            <w:pPr>
              <w:spacing w:after="0" w:line="240" w:lineRule="auto"/>
              <w:ind w:left="11"/>
              <w:jc w:val="center"/>
              <w:rPr>
                <w:lang w:val="ro-RO"/>
              </w:rPr>
            </w:pPr>
            <w:r>
              <w:rPr>
                <w:lang w:val="ro-RO"/>
              </w:rPr>
              <w:t>60&lt;Amax</w:t>
            </w:r>
            <w:r>
              <w:rPr>
                <w:rFonts w:ascii="Arial Narrow" w:hAnsi="Arial Narrow"/>
                <w:lang w:val="ro-RO"/>
              </w:rPr>
              <w:t>≤</w:t>
            </w:r>
            <w:r w:rsidRPr="00F4760D">
              <w:rPr>
                <w:lang w:val="ro-RO"/>
              </w:rPr>
              <w:t>70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6,2</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7,7</w:t>
            </w:r>
          </w:p>
        </w:tc>
      </w:tr>
      <w:tr w:rsidR="006D45E2" w:rsidRPr="00F4760D" w:rsidTr="00B01E97">
        <w:trPr>
          <w:jc w:val="center"/>
        </w:trPr>
        <w:tc>
          <w:tcPr>
            <w:tcW w:w="3072" w:type="dxa"/>
            <w:shd w:val="clear" w:color="auto" w:fill="auto"/>
          </w:tcPr>
          <w:p w:rsidR="006D45E2" w:rsidRPr="00F4760D" w:rsidRDefault="006D45E2" w:rsidP="00B01E97">
            <w:pPr>
              <w:spacing w:after="0" w:line="240" w:lineRule="auto"/>
              <w:ind w:left="11"/>
              <w:jc w:val="center"/>
              <w:rPr>
                <w:lang w:val="ro-RO"/>
              </w:rPr>
            </w:pPr>
            <w:r>
              <w:rPr>
                <w:lang w:val="ro-RO"/>
              </w:rPr>
              <w:t>70&lt;Amax</w:t>
            </w:r>
            <w:r>
              <w:rPr>
                <w:rFonts w:ascii="Arial Narrow" w:hAnsi="Arial Narrow"/>
                <w:lang w:val="ro-RO"/>
              </w:rPr>
              <w:t>≤</w:t>
            </w:r>
            <w:r w:rsidRPr="00F4760D">
              <w:rPr>
                <w:lang w:val="ro-RO"/>
              </w:rPr>
              <w:t>80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6,6</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8,2</w:t>
            </w:r>
          </w:p>
        </w:tc>
      </w:tr>
      <w:tr w:rsidR="006D45E2" w:rsidRPr="00F4760D" w:rsidTr="00B01E97">
        <w:trPr>
          <w:jc w:val="center"/>
        </w:trPr>
        <w:tc>
          <w:tcPr>
            <w:tcW w:w="3072" w:type="dxa"/>
            <w:shd w:val="clear" w:color="auto" w:fill="auto"/>
          </w:tcPr>
          <w:p w:rsidR="006D45E2" w:rsidRPr="00F4760D" w:rsidRDefault="006D45E2" w:rsidP="00B01E97">
            <w:pPr>
              <w:spacing w:after="0" w:line="240" w:lineRule="auto"/>
              <w:ind w:left="11"/>
              <w:jc w:val="center"/>
              <w:rPr>
                <w:lang w:val="ro-RO"/>
              </w:rPr>
            </w:pPr>
            <w:r>
              <w:rPr>
                <w:lang w:val="ro-RO"/>
              </w:rPr>
              <w:t>80&lt;Amax</w:t>
            </w:r>
            <w:r>
              <w:rPr>
                <w:rFonts w:ascii="Arial Narrow" w:hAnsi="Arial Narrow"/>
                <w:lang w:val="ro-RO"/>
              </w:rPr>
              <w:t>≤</w:t>
            </w:r>
            <w:r w:rsidRPr="00F4760D">
              <w:rPr>
                <w:lang w:val="ro-RO"/>
              </w:rPr>
              <w:t>90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7,0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8,7</w:t>
            </w:r>
          </w:p>
        </w:tc>
      </w:tr>
      <w:tr w:rsidR="006D45E2" w:rsidRPr="00F4760D" w:rsidTr="00B01E97">
        <w:trPr>
          <w:jc w:val="center"/>
        </w:trPr>
        <w:tc>
          <w:tcPr>
            <w:tcW w:w="3072" w:type="dxa"/>
            <w:shd w:val="clear" w:color="auto" w:fill="auto"/>
          </w:tcPr>
          <w:p w:rsidR="006D45E2" w:rsidRPr="00F4760D" w:rsidRDefault="006D45E2" w:rsidP="00B01E97">
            <w:pPr>
              <w:spacing w:after="0" w:line="240" w:lineRule="auto"/>
              <w:ind w:left="11"/>
              <w:jc w:val="center"/>
              <w:rPr>
                <w:lang w:val="ro-RO"/>
              </w:rPr>
            </w:pPr>
            <w:r>
              <w:rPr>
                <w:lang w:val="ro-RO"/>
              </w:rPr>
              <w:t>90&lt;Amax</w:t>
            </w:r>
            <w:r>
              <w:rPr>
                <w:rFonts w:ascii="Arial Narrow" w:hAnsi="Arial Narrow"/>
                <w:lang w:val="ro-RO"/>
              </w:rPr>
              <w:t>≤</w:t>
            </w:r>
            <w:r w:rsidRPr="00F4760D">
              <w:rPr>
                <w:lang w:val="ro-RO"/>
              </w:rPr>
              <w:t>100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7,4</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9,2</w:t>
            </w:r>
          </w:p>
        </w:tc>
      </w:tr>
      <w:tr w:rsidR="006D45E2" w:rsidRPr="00F4760D" w:rsidTr="00B01E97">
        <w:trPr>
          <w:jc w:val="center"/>
        </w:trPr>
        <w:tc>
          <w:tcPr>
            <w:tcW w:w="3072" w:type="dxa"/>
            <w:shd w:val="clear" w:color="auto" w:fill="auto"/>
          </w:tcPr>
          <w:p w:rsidR="006D45E2" w:rsidRPr="00F4760D" w:rsidRDefault="006D45E2" w:rsidP="00B01E97">
            <w:pPr>
              <w:spacing w:after="0" w:line="240" w:lineRule="auto"/>
              <w:ind w:left="11"/>
              <w:jc w:val="center"/>
              <w:rPr>
                <w:lang w:val="ro-RO"/>
              </w:rPr>
            </w:pPr>
            <w:r>
              <w:rPr>
                <w:lang w:val="ro-RO"/>
              </w:rPr>
              <w:t>100&lt;Amax</w:t>
            </w:r>
            <w:r>
              <w:rPr>
                <w:rFonts w:ascii="Arial Narrow" w:hAnsi="Arial Narrow"/>
                <w:lang w:val="ro-RO"/>
              </w:rPr>
              <w:t>≤</w:t>
            </w:r>
            <w:r w:rsidRPr="00F4760D">
              <w:rPr>
                <w:lang w:val="ro-RO"/>
              </w:rPr>
              <w:t>110</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7,7</w:t>
            </w:r>
          </w:p>
        </w:tc>
        <w:tc>
          <w:tcPr>
            <w:tcW w:w="1701" w:type="dxa"/>
            <w:shd w:val="clear" w:color="auto" w:fill="auto"/>
          </w:tcPr>
          <w:p w:rsidR="006D45E2" w:rsidRPr="00F4760D" w:rsidRDefault="006D45E2" w:rsidP="00B01E97">
            <w:pPr>
              <w:spacing w:after="0" w:line="240" w:lineRule="auto"/>
              <w:ind w:left="11"/>
              <w:jc w:val="center"/>
              <w:rPr>
                <w:lang w:val="ro-RO"/>
              </w:rPr>
            </w:pPr>
            <w:r w:rsidRPr="00F4760D">
              <w:rPr>
                <w:lang w:val="ro-RO"/>
              </w:rPr>
              <w:t>9,6</w:t>
            </w:r>
          </w:p>
        </w:tc>
      </w:tr>
    </w:tbl>
    <w:p w:rsidR="00FB30ED" w:rsidRPr="00F4760D" w:rsidRDefault="00FB30ED" w:rsidP="006D45E2">
      <w:pPr>
        <w:autoSpaceDE w:val="0"/>
        <w:autoSpaceDN w:val="0"/>
        <w:adjustRightInd w:val="0"/>
        <w:spacing w:after="0"/>
        <w:ind w:left="0" w:firstLine="1701"/>
        <w:rPr>
          <w:rFonts w:eastAsia="SimSun"/>
          <w:sz w:val="18"/>
          <w:szCs w:val="18"/>
          <w:lang w:val="ro-RO"/>
        </w:rPr>
      </w:pPr>
      <w:r w:rsidRPr="00F4760D">
        <w:rPr>
          <w:rFonts w:eastAsia="SimSun"/>
          <w:sz w:val="18"/>
          <w:szCs w:val="18"/>
          <w:lang w:val="ro-RO"/>
        </w:rPr>
        <w:t>(*)</w:t>
      </w:r>
      <w:r w:rsidR="00A0364B" w:rsidRPr="00F4760D">
        <w:rPr>
          <w:sz w:val="18"/>
          <w:szCs w:val="18"/>
          <w:lang w:val="ro-RO"/>
        </w:rPr>
        <w:t xml:space="preserve">α - </w:t>
      </w:r>
      <w:r w:rsidRPr="00F4760D">
        <w:rPr>
          <w:rFonts w:eastAsia="SimSun"/>
          <w:sz w:val="18"/>
          <w:szCs w:val="18"/>
          <w:lang w:val="ro-RO"/>
        </w:rPr>
        <w:t>este unghiul de înclinare faţă de orizontală a tavanului sau acoperişului.</w:t>
      </w:r>
    </w:p>
    <w:p w:rsidR="00FB30ED" w:rsidRPr="00F4760D" w:rsidRDefault="00FB30ED" w:rsidP="006D45E2">
      <w:pPr>
        <w:spacing w:after="0"/>
        <w:rPr>
          <w:rFonts w:eastAsia="SimSun"/>
          <w:sz w:val="18"/>
          <w:szCs w:val="18"/>
          <w:lang w:val="ro-RO"/>
        </w:rPr>
      </w:pPr>
      <w:r w:rsidRPr="00F4760D">
        <w:rPr>
          <w:rFonts w:eastAsia="SimSun"/>
          <w:sz w:val="18"/>
          <w:szCs w:val="18"/>
          <w:lang w:val="ro-RO"/>
        </w:rPr>
        <w:t>Pentru înclinări diferite se va considera cea mai mică înclinare.</w:t>
      </w:r>
      <w:r w:rsidR="001A2315" w:rsidRPr="00F4760D">
        <w:rPr>
          <w:rFonts w:eastAsia="SimSun"/>
          <w:sz w:val="18"/>
          <w:szCs w:val="18"/>
          <w:lang w:val="ro-RO"/>
        </w:rPr>
        <w:t>”</w:t>
      </w:r>
    </w:p>
    <w:p w:rsidR="00903C8F" w:rsidRDefault="00903C8F" w:rsidP="00903C8F">
      <w:pPr>
        <w:ind w:left="2061" w:right="1417" w:hanging="218"/>
        <w:jc w:val="center"/>
        <w:rPr>
          <w:color w:val="000000"/>
          <w:shd w:val="clear" w:color="auto" w:fill="FFFFFF"/>
          <w:lang w:val="ro-RO"/>
        </w:rPr>
      </w:pPr>
    </w:p>
    <w:p w:rsidR="00903C8F" w:rsidRDefault="00903C8F" w:rsidP="00903C8F">
      <w:pPr>
        <w:ind w:left="2061" w:right="1417" w:hanging="218"/>
        <w:jc w:val="center"/>
        <w:rPr>
          <w:color w:val="000000"/>
          <w:shd w:val="clear" w:color="auto" w:fill="FFFFFF"/>
          <w:lang w:val="ro-RO"/>
        </w:rPr>
      </w:pPr>
    </w:p>
    <w:p w:rsidR="00903C8F" w:rsidRDefault="00903C8F" w:rsidP="00903C8F">
      <w:pPr>
        <w:ind w:left="2061" w:right="1417" w:hanging="218"/>
        <w:jc w:val="center"/>
        <w:rPr>
          <w:color w:val="000000"/>
          <w:shd w:val="clear" w:color="auto" w:fill="FFFFFF"/>
          <w:lang w:val="ro-RO"/>
        </w:rPr>
      </w:pPr>
    </w:p>
    <w:p w:rsidR="00903C8F" w:rsidRDefault="00903C8F" w:rsidP="00903C8F">
      <w:pPr>
        <w:ind w:left="2061" w:right="1417" w:hanging="218"/>
        <w:jc w:val="center"/>
        <w:rPr>
          <w:color w:val="000000"/>
          <w:shd w:val="clear" w:color="auto" w:fill="FFFFFF"/>
          <w:lang w:val="ro-RO"/>
        </w:rPr>
      </w:pPr>
    </w:p>
    <w:p w:rsidR="00903C8F" w:rsidRDefault="00903C8F" w:rsidP="00903C8F">
      <w:pPr>
        <w:ind w:left="2061" w:right="1417" w:hanging="218"/>
        <w:jc w:val="center"/>
        <w:rPr>
          <w:color w:val="000000"/>
          <w:shd w:val="clear" w:color="auto" w:fill="FFFFFF"/>
          <w:lang w:val="ro-RO"/>
        </w:rPr>
      </w:pPr>
    </w:p>
    <w:p w:rsidR="00903C8F" w:rsidRPr="00F30263" w:rsidRDefault="00903C8F" w:rsidP="006D45E2">
      <w:pPr>
        <w:ind w:left="1843" w:right="1417"/>
        <w:jc w:val="center"/>
        <w:rPr>
          <w:color w:val="000000"/>
          <w:shd w:val="clear" w:color="auto" w:fill="FFFFFF"/>
          <w:lang w:val="ro-RO"/>
        </w:rPr>
      </w:pPr>
      <w:r>
        <w:rPr>
          <w:color w:val="000000"/>
          <w:shd w:val="clear" w:color="auto" w:fill="FFFFFF"/>
          <w:lang w:val="ro-RO"/>
        </w:rPr>
        <w:t>Tabelul 3.5</w:t>
      </w:r>
      <w:r w:rsidRPr="00F30263">
        <w:rPr>
          <w:color w:val="000000"/>
          <w:shd w:val="clear" w:color="auto" w:fill="FFFFFF"/>
          <w:lang w:val="ro-RO"/>
        </w:rPr>
        <w:t xml:space="preserve"> – Distanţa maximă orizontală (D</w:t>
      </w:r>
      <w:r w:rsidRPr="000B33C9">
        <w:rPr>
          <w:color w:val="000000"/>
          <w:shd w:val="clear" w:color="auto" w:fill="FFFFFF"/>
          <w:vertAlign w:val="subscript"/>
          <w:lang w:val="ro-RO"/>
        </w:rPr>
        <w:t>H</w:t>
      </w:r>
      <w:r w:rsidRPr="00F30263">
        <w:rPr>
          <w:color w:val="000000"/>
          <w:shd w:val="clear" w:color="auto" w:fill="FFFFFF"/>
          <w:lang w:val="ro-RO"/>
        </w:rPr>
        <w:t xml:space="preserve">) de la un punct al tavanului la cel mai apropiat detector de </w:t>
      </w:r>
      <w:r>
        <w:rPr>
          <w:color w:val="000000"/>
          <w:shd w:val="clear" w:color="auto" w:fill="FFFFFF"/>
          <w:lang w:val="ro-RO"/>
        </w:rPr>
        <w:t>temperatură (SR EN 54-5)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701"/>
        <w:gridCol w:w="1701"/>
      </w:tblGrid>
      <w:tr w:rsidR="00903C8F" w:rsidRPr="00F4760D" w:rsidTr="00B01E97">
        <w:trPr>
          <w:trHeight w:val="413"/>
          <w:jc w:val="center"/>
        </w:trPr>
        <w:tc>
          <w:tcPr>
            <w:tcW w:w="3072" w:type="dxa"/>
            <w:vMerge w:val="restart"/>
            <w:shd w:val="clear" w:color="auto" w:fill="auto"/>
          </w:tcPr>
          <w:p w:rsidR="00903C8F" w:rsidRPr="00F4760D" w:rsidRDefault="00903C8F" w:rsidP="00B01E97">
            <w:pPr>
              <w:spacing w:after="0" w:line="240" w:lineRule="auto"/>
              <w:ind w:left="0"/>
              <w:jc w:val="center"/>
              <w:rPr>
                <w:lang w:val="ro-RO"/>
              </w:rPr>
            </w:pPr>
            <w:r w:rsidRPr="00F4760D">
              <w:rPr>
                <w:lang w:val="ro-RO"/>
              </w:rPr>
              <w:t>Suprafaţa maximă supravegheată de detector, A</w:t>
            </w:r>
            <w:r w:rsidRPr="00F4760D">
              <w:rPr>
                <w:vertAlign w:val="subscript"/>
                <w:lang w:val="ro-RO"/>
              </w:rPr>
              <w:t>max</w:t>
            </w:r>
            <w:r w:rsidRPr="00F4760D">
              <w:rPr>
                <w:lang w:val="ro-RO"/>
              </w:rPr>
              <w:t xml:space="preserve"> (m</w:t>
            </w:r>
            <w:r w:rsidRPr="00F4760D">
              <w:rPr>
                <w:vertAlign w:val="superscript"/>
                <w:lang w:val="ro-RO"/>
              </w:rPr>
              <w:t>2</w:t>
            </w:r>
            <w:r w:rsidRPr="00F4760D">
              <w:rPr>
                <w:lang w:val="ro-RO"/>
              </w:rPr>
              <w:t>)</w:t>
            </w:r>
          </w:p>
        </w:tc>
        <w:tc>
          <w:tcPr>
            <w:tcW w:w="3402" w:type="dxa"/>
            <w:gridSpan w:val="2"/>
            <w:shd w:val="clear" w:color="auto" w:fill="auto"/>
          </w:tcPr>
          <w:p w:rsidR="00903C8F" w:rsidRPr="00F4760D" w:rsidRDefault="00903C8F" w:rsidP="00B01E97">
            <w:pPr>
              <w:spacing w:after="0" w:line="240" w:lineRule="auto"/>
              <w:ind w:left="0" w:firstLine="58"/>
              <w:jc w:val="center"/>
              <w:rPr>
                <w:lang w:val="ro-RO"/>
              </w:rPr>
            </w:pPr>
            <w:r w:rsidRPr="00F4760D">
              <w:rPr>
                <w:lang w:val="ro-RO"/>
              </w:rPr>
              <w:t>D</w:t>
            </w:r>
            <w:r w:rsidRPr="00F4760D">
              <w:rPr>
                <w:vertAlign w:val="subscript"/>
                <w:lang w:val="ro-RO"/>
              </w:rPr>
              <w:t>H</w:t>
            </w:r>
            <w:r w:rsidRPr="00F4760D">
              <w:rPr>
                <w:lang w:val="ro-RO"/>
              </w:rPr>
              <w:t xml:space="preserve"> (m)</w:t>
            </w:r>
          </w:p>
        </w:tc>
      </w:tr>
      <w:tr w:rsidR="00903C8F" w:rsidRPr="00F4760D" w:rsidTr="00B01E97">
        <w:trPr>
          <w:trHeight w:val="286"/>
          <w:jc w:val="center"/>
        </w:trPr>
        <w:tc>
          <w:tcPr>
            <w:tcW w:w="3072" w:type="dxa"/>
            <w:vMerge/>
            <w:shd w:val="clear" w:color="auto" w:fill="auto"/>
          </w:tcPr>
          <w:p w:rsidR="00903C8F" w:rsidRPr="00F4760D" w:rsidRDefault="00903C8F" w:rsidP="00B01E97">
            <w:pPr>
              <w:spacing w:after="0" w:line="240" w:lineRule="auto"/>
              <w:jc w:val="center"/>
              <w:rPr>
                <w:lang w:val="ro-RO"/>
              </w:rPr>
            </w:pPr>
          </w:p>
        </w:tc>
        <w:tc>
          <w:tcPr>
            <w:tcW w:w="1701" w:type="dxa"/>
            <w:shd w:val="clear" w:color="auto" w:fill="auto"/>
            <w:vAlign w:val="center"/>
          </w:tcPr>
          <w:p w:rsidR="00903C8F" w:rsidRPr="00F4760D" w:rsidRDefault="00903C8F" w:rsidP="00B01E97">
            <w:pPr>
              <w:spacing w:after="0" w:line="240" w:lineRule="auto"/>
              <w:ind w:left="19"/>
              <w:jc w:val="center"/>
              <w:rPr>
                <w:lang w:val="ro-RO"/>
              </w:rPr>
            </w:pPr>
            <w:r w:rsidRPr="00F4760D">
              <w:rPr>
                <w:lang w:val="ro-RO"/>
              </w:rPr>
              <w:t>α</w:t>
            </w:r>
            <w:r w:rsidRPr="00F4760D">
              <w:rPr>
                <w:vertAlign w:val="superscript"/>
                <w:lang w:val="ro-RO"/>
              </w:rPr>
              <w:t>(*)</w:t>
            </w:r>
            <w:r w:rsidRPr="00F4760D">
              <w:rPr>
                <w:lang w:val="ro-RO"/>
              </w:rPr>
              <w:t xml:space="preserve"> ≤ 20º</w:t>
            </w:r>
          </w:p>
        </w:tc>
        <w:tc>
          <w:tcPr>
            <w:tcW w:w="1701" w:type="dxa"/>
            <w:shd w:val="clear" w:color="auto" w:fill="auto"/>
            <w:vAlign w:val="center"/>
          </w:tcPr>
          <w:p w:rsidR="00903C8F" w:rsidRPr="00F4760D" w:rsidRDefault="00903C8F" w:rsidP="00B01E97">
            <w:pPr>
              <w:spacing w:after="0" w:line="240" w:lineRule="auto"/>
              <w:ind w:left="19"/>
              <w:jc w:val="center"/>
              <w:rPr>
                <w:lang w:val="ro-RO"/>
              </w:rPr>
            </w:pPr>
            <w:r w:rsidRPr="00F4760D">
              <w:rPr>
                <w:lang w:val="ro-RO"/>
              </w:rPr>
              <w:t>α</w:t>
            </w:r>
            <w:r w:rsidRPr="00F4760D">
              <w:rPr>
                <w:vertAlign w:val="superscript"/>
                <w:lang w:val="ro-RO"/>
              </w:rPr>
              <w:t>(*)</w:t>
            </w:r>
            <w:r w:rsidRPr="00F4760D">
              <w:rPr>
                <w:lang w:val="ro-RO"/>
              </w:rPr>
              <w:t xml:space="preserve"> &gt; 20º</w:t>
            </w:r>
          </w:p>
        </w:tc>
      </w:tr>
      <w:tr w:rsidR="00903C8F" w:rsidRPr="00F4760D" w:rsidTr="00B01E97">
        <w:trPr>
          <w:jc w:val="center"/>
        </w:trPr>
        <w:tc>
          <w:tcPr>
            <w:tcW w:w="3072" w:type="dxa"/>
            <w:shd w:val="clear" w:color="auto" w:fill="auto"/>
          </w:tcPr>
          <w:p w:rsidR="00903C8F" w:rsidRPr="00F4760D" w:rsidRDefault="00903C8F" w:rsidP="00B01E97">
            <w:pPr>
              <w:spacing w:after="0" w:line="240" w:lineRule="auto"/>
              <w:ind w:left="11"/>
              <w:jc w:val="center"/>
              <w:rPr>
                <w:lang w:val="ro-RO"/>
              </w:rPr>
            </w:pPr>
            <w:r>
              <w:rPr>
                <w:rFonts w:ascii="Arial Narrow" w:hAnsi="Arial Narrow"/>
                <w:lang w:val="ro-RO"/>
              </w:rPr>
              <w:t>≤</w:t>
            </w:r>
            <w:r w:rsidRPr="00F4760D">
              <w:rPr>
                <w:lang w:val="ro-RO"/>
              </w:rPr>
              <w:t>10</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2,5</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3,3</w:t>
            </w:r>
          </w:p>
        </w:tc>
      </w:tr>
      <w:tr w:rsidR="00903C8F" w:rsidRPr="00F4760D" w:rsidTr="00B01E97">
        <w:trPr>
          <w:jc w:val="center"/>
        </w:trPr>
        <w:tc>
          <w:tcPr>
            <w:tcW w:w="3072" w:type="dxa"/>
            <w:shd w:val="clear" w:color="auto" w:fill="auto"/>
          </w:tcPr>
          <w:p w:rsidR="00903C8F" w:rsidRPr="00903C8F" w:rsidRDefault="00903C8F" w:rsidP="00903C8F">
            <w:pPr>
              <w:spacing w:after="0" w:line="240" w:lineRule="auto"/>
              <w:ind w:left="11"/>
              <w:jc w:val="center"/>
              <w:rPr>
                <w:lang w:val="ro-RO"/>
              </w:rPr>
            </w:pPr>
            <w:r w:rsidRPr="00903C8F">
              <w:rPr>
                <w:lang w:val="ro-RO"/>
              </w:rPr>
              <w:t>10&lt;Amax≤12</w:t>
            </w:r>
          </w:p>
        </w:tc>
        <w:tc>
          <w:tcPr>
            <w:tcW w:w="1701" w:type="dxa"/>
            <w:shd w:val="clear" w:color="auto" w:fill="auto"/>
          </w:tcPr>
          <w:p w:rsidR="00903C8F" w:rsidRPr="00903C8F" w:rsidRDefault="00903C8F" w:rsidP="00903C8F">
            <w:pPr>
              <w:spacing w:after="0" w:line="240" w:lineRule="auto"/>
              <w:ind w:left="11"/>
              <w:jc w:val="center"/>
              <w:rPr>
                <w:lang w:val="ro-RO"/>
              </w:rPr>
            </w:pPr>
            <w:r w:rsidRPr="00903C8F">
              <w:rPr>
                <w:lang w:val="ro-RO"/>
              </w:rPr>
              <w:t>2,7</w:t>
            </w:r>
          </w:p>
        </w:tc>
        <w:tc>
          <w:tcPr>
            <w:tcW w:w="1701" w:type="dxa"/>
            <w:shd w:val="clear" w:color="auto" w:fill="auto"/>
          </w:tcPr>
          <w:p w:rsidR="00903C8F" w:rsidRPr="00903C8F" w:rsidRDefault="00903C8F" w:rsidP="00903C8F">
            <w:pPr>
              <w:spacing w:after="0" w:line="240" w:lineRule="auto"/>
              <w:ind w:left="11"/>
              <w:jc w:val="center"/>
              <w:rPr>
                <w:lang w:val="ro-RO"/>
              </w:rPr>
            </w:pPr>
            <w:r w:rsidRPr="00903C8F">
              <w:rPr>
                <w:lang w:val="ro-RO"/>
              </w:rPr>
              <w:t>3,6</w:t>
            </w:r>
          </w:p>
        </w:tc>
      </w:tr>
      <w:tr w:rsidR="00903C8F" w:rsidRPr="00F4760D" w:rsidTr="00B01E97">
        <w:trPr>
          <w:jc w:val="center"/>
        </w:trPr>
        <w:tc>
          <w:tcPr>
            <w:tcW w:w="3072" w:type="dxa"/>
            <w:shd w:val="clear" w:color="auto" w:fill="auto"/>
          </w:tcPr>
          <w:p w:rsidR="00903C8F" w:rsidRPr="00F4760D" w:rsidRDefault="00903C8F" w:rsidP="00B01E97">
            <w:pPr>
              <w:spacing w:after="0" w:line="240" w:lineRule="auto"/>
              <w:ind w:left="11"/>
              <w:jc w:val="center"/>
              <w:rPr>
                <w:lang w:val="ro-RO"/>
              </w:rPr>
            </w:pPr>
            <w:r>
              <w:rPr>
                <w:lang w:val="ro-RO"/>
              </w:rPr>
              <w:t>12&lt;Amax</w:t>
            </w:r>
            <w:r>
              <w:rPr>
                <w:rFonts w:ascii="Arial Narrow" w:hAnsi="Arial Narrow"/>
                <w:lang w:val="ro-RO"/>
              </w:rPr>
              <w:t>≤</w:t>
            </w:r>
            <w:r>
              <w:rPr>
                <w:lang w:val="ro-RO"/>
              </w:rPr>
              <w:t>14</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3,0</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3,9</w:t>
            </w:r>
          </w:p>
        </w:tc>
      </w:tr>
      <w:tr w:rsidR="00903C8F" w:rsidRPr="00F4760D" w:rsidTr="00B01E97">
        <w:trPr>
          <w:jc w:val="center"/>
        </w:trPr>
        <w:tc>
          <w:tcPr>
            <w:tcW w:w="3072" w:type="dxa"/>
            <w:shd w:val="clear" w:color="auto" w:fill="auto"/>
          </w:tcPr>
          <w:p w:rsidR="00903C8F" w:rsidRPr="00F4760D" w:rsidRDefault="00903C8F" w:rsidP="00903C8F">
            <w:pPr>
              <w:spacing w:after="0" w:line="240" w:lineRule="auto"/>
              <w:ind w:left="11"/>
              <w:jc w:val="center"/>
              <w:rPr>
                <w:lang w:val="ro-RO"/>
              </w:rPr>
            </w:pPr>
            <w:r>
              <w:rPr>
                <w:lang w:val="ro-RO"/>
              </w:rPr>
              <w:t>14&lt;Amax</w:t>
            </w:r>
            <w:r w:rsidRPr="00903C8F">
              <w:rPr>
                <w:lang w:val="ro-RO"/>
              </w:rPr>
              <w:t>≤</w:t>
            </w:r>
            <w:r>
              <w:rPr>
                <w:lang w:val="ro-RO"/>
              </w:rPr>
              <w:t>16</w:t>
            </w:r>
          </w:p>
        </w:tc>
        <w:tc>
          <w:tcPr>
            <w:tcW w:w="1701" w:type="dxa"/>
            <w:shd w:val="clear" w:color="auto" w:fill="auto"/>
          </w:tcPr>
          <w:p w:rsidR="00903C8F" w:rsidRPr="00F4760D" w:rsidRDefault="00903C8F" w:rsidP="00903C8F">
            <w:pPr>
              <w:spacing w:after="0" w:line="240" w:lineRule="auto"/>
              <w:ind w:left="11"/>
              <w:jc w:val="center"/>
              <w:rPr>
                <w:lang w:val="ro-RO"/>
              </w:rPr>
            </w:pPr>
            <w:r>
              <w:rPr>
                <w:lang w:val="ro-RO"/>
              </w:rPr>
              <w:t>3,2</w:t>
            </w:r>
          </w:p>
        </w:tc>
        <w:tc>
          <w:tcPr>
            <w:tcW w:w="1701" w:type="dxa"/>
            <w:shd w:val="clear" w:color="auto" w:fill="auto"/>
          </w:tcPr>
          <w:p w:rsidR="00903C8F" w:rsidRPr="00F4760D" w:rsidRDefault="00903C8F" w:rsidP="00903C8F">
            <w:pPr>
              <w:spacing w:after="0" w:line="240" w:lineRule="auto"/>
              <w:ind w:left="11"/>
              <w:jc w:val="center"/>
              <w:rPr>
                <w:lang w:val="ro-RO"/>
              </w:rPr>
            </w:pPr>
            <w:r>
              <w:rPr>
                <w:lang w:val="ro-RO"/>
              </w:rPr>
              <w:t>4,1</w:t>
            </w:r>
          </w:p>
        </w:tc>
      </w:tr>
      <w:tr w:rsidR="00903C8F" w:rsidRPr="00F4760D" w:rsidTr="00B01E97">
        <w:trPr>
          <w:jc w:val="center"/>
        </w:trPr>
        <w:tc>
          <w:tcPr>
            <w:tcW w:w="3072" w:type="dxa"/>
            <w:shd w:val="clear" w:color="auto" w:fill="auto"/>
          </w:tcPr>
          <w:p w:rsidR="00903C8F" w:rsidRPr="00F4760D" w:rsidRDefault="00903C8F" w:rsidP="00B01E97">
            <w:pPr>
              <w:spacing w:after="0" w:line="240" w:lineRule="auto"/>
              <w:ind w:left="11"/>
              <w:jc w:val="center"/>
              <w:rPr>
                <w:lang w:val="ro-RO"/>
              </w:rPr>
            </w:pPr>
            <w:r>
              <w:rPr>
                <w:lang w:val="ro-RO"/>
              </w:rPr>
              <w:t>16&lt;Amax</w:t>
            </w:r>
            <w:r>
              <w:rPr>
                <w:rFonts w:ascii="Arial Narrow" w:hAnsi="Arial Narrow"/>
                <w:lang w:val="ro-RO"/>
              </w:rPr>
              <w:t>≤</w:t>
            </w:r>
            <w:r>
              <w:rPr>
                <w:lang w:val="ro-RO"/>
              </w:rPr>
              <w:t>18</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3,4</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4,4</w:t>
            </w:r>
          </w:p>
        </w:tc>
      </w:tr>
      <w:tr w:rsidR="00903C8F" w:rsidRPr="00F4760D" w:rsidTr="00B01E97">
        <w:trPr>
          <w:jc w:val="center"/>
        </w:trPr>
        <w:tc>
          <w:tcPr>
            <w:tcW w:w="3072" w:type="dxa"/>
            <w:shd w:val="clear" w:color="auto" w:fill="auto"/>
          </w:tcPr>
          <w:p w:rsidR="00903C8F" w:rsidRPr="00F4760D" w:rsidRDefault="00903C8F" w:rsidP="00B01E97">
            <w:pPr>
              <w:spacing w:after="0" w:line="240" w:lineRule="auto"/>
              <w:ind w:left="11"/>
              <w:jc w:val="center"/>
              <w:rPr>
                <w:lang w:val="ro-RO"/>
              </w:rPr>
            </w:pPr>
            <w:r>
              <w:rPr>
                <w:lang w:val="ro-RO"/>
              </w:rPr>
              <w:t>18&lt;Amax</w:t>
            </w:r>
            <w:r>
              <w:rPr>
                <w:rFonts w:ascii="Arial Narrow" w:hAnsi="Arial Narrow"/>
                <w:lang w:val="ro-RO"/>
              </w:rPr>
              <w:t>≤</w:t>
            </w:r>
            <w:r>
              <w:rPr>
                <w:lang w:val="ro-RO"/>
              </w:rPr>
              <w:t>20</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3,5</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4,6</w:t>
            </w:r>
          </w:p>
        </w:tc>
      </w:tr>
      <w:tr w:rsidR="00903C8F" w:rsidRPr="00F4760D" w:rsidTr="00B01E97">
        <w:trPr>
          <w:jc w:val="center"/>
        </w:trPr>
        <w:tc>
          <w:tcPr>
            <w:tcW w:w="3072" w:type="dxa"/>
            <w:shd w:val="clear" w:color="auto" w:fill="auto"/>
          </w:tcPr>
          <w:p w:rsidR="00903C8F" w:rsidRPr="00F4760D" w:rsidRDefault="00903C8F" w:rsidP="00B01E97">
            <w:pPr>
              <w:spacing w:after="0" w:line="240" w:lineRule="auto"/>
              <w:ind w:left="11"/>
              <w:jc w:val="center"/>
              <w:rPr>
                <w:lang w:val="ro-RO"/>
              </w:rPr>
            </w:pPr>
            <w:r>
              <w:rPr>
                <w:lang w:val="ro-RO"/>
              </w:rPr>
              <w:t>20&lt;Amax</w:t>
            </w:r>
            <w:r w:rsidRPr="00903C8F">
              <w:rPr>
                <w:lang w:val="ro-RO"/>
              </w:rPr>
              <w:t>≤</w:t>
            </w:r>
            <w:r>
              <w:rPr>
                <w:lang w:val="ro-RO"/>
              </w:rPr>
              <w:t>22</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3,7</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4,8</w:t>
            </w:r>
          </w:p>
        </w:tc>
      </w:tr>
      <w:tr w:rsidR="00903C8F" w:rsidRPr="00F4760D" w:rsidTr="00B01E97">
        <w:trPr>
          <w:jc w:val="center"/>
        </w:trPr>
        <w:tc>
          <w:tcPr>
            <w:tcW w:w="3072" w:type="dxa"/>
            <w:shd w:val="clear" w:color="auto" w:fill="auto"/>
          </w:tcPr>
          <w:p w:rsidR="00903C8F" w:rsidRPr="00903C8F" w:rsidRDefault="00903C8F" w:rsidP="00903C8F">
            <w:pPr>
              <w:spacing w:after="0" w:line="240" w:lineRule="auto"/>
              <w:ind w:left="11"/>
              <w:jc w:val="center"/>
              <w:rPr>
                <w:lang w:val="ro-RO"/>
              </w:rPr>
            </w:pPr>
            <w:r w:rsidRPr="00903C8F">
              <w:rPr>
                <w:lang w:val="ro-RO"/>
              </w:rPr>
              <w:t>22&lt;Amax≤24</w:t>
            </w:r>
          </w:p>
        </w:tc>
        <w:tc>
          <w:tcPr>
            <w:tcW w:w="1701" w:type="dxa"/>
            <w:shd w:val="clear" w:color="auto" w:fill="auto"/>
          </w:tcPr>
          <w:p w:rsidR="00903C8F" w:rsidRPr="00903C8F" w:rsidRDefault="00903C8F" w:rsidP="00903C8F">
            <w:pPr>
              <w:spacing w:after="0" w:line="240" w:lineRule="auto"/>
              <w:ind w:left="11"/>
              <w:jc w:val="center"/>
              <w:rPr>
                <w:lang w:val="ro-RO"/>
              </w:rPr>
            </w:pPr>
            <w:r w:rsidRPr="00903C8F">
              <w:rPr>
                <w:lang w:val="ro-RO"/>
              </w:rPr>
              <w:t>3,9</w:t>
            </w:r>
          </w:p>
        </w:tc>
        <w:tc>
          <w:tcPr>
            <w:tcW w:w="1701" w:type="dxa"/>
            <w:shd w:val="clear" w:color="auto" w:fill="auto"/>
          </w:tcPr>
          <w:p w:rsidR="00903C8F" w:rsidRPr="00903C8F" w:rsidRDefault="00903C8F" w:rsidP="00903C8F">
            <w:pPr>
              <w:spacing w:after="0" w:line="240" w:lineRule="auto"/>
              <w:ind w:left="11"/>
              <w:jc w:val="center"/>
              <w:rPr>
                <w:lang w:val="ro-RO"/>
              </w:rPr>
            </w:pPr>
            <w:r w:rsidRPr="00903C8F">
              <w:rPr>
                <w:lang w:val="ro-RO"/>
              </w:rPr>
              <w:t>5,1</w:t>
            </w:r>
          </w:p>
        </w:tc>
      </w:tr>
      <w:tr w:rsidR="00903C8F" w:rsidRPr="00F4760D" w:rsidTr="00B01E97">
        <w:trPr>
          <w:jc w:val="center"/>
        </w:trPr>
        <w:tc>
          <w:tcPr>
            <w:tcW w:w="3072" w:type="dxa"/>
            <w:shd w:val="clear" w:color="auto" w:fill="auto"/>
          </w:tcPr>
          <w:p w:rsidR="00903C8F" w:rsidRPr="00F4760D" w:rsidRDefault="00903C8F" w:rsidP="00B01E97">
            <w:pPr>
              <w:spacing w:after="0" w:line="240" w:lineRule="auto"/>
              <w:ind w:left="11"/>
              <w:jc w:val="center"/>
              <w:rPr>
                <w:lang w:val="ro-RO"/>
              </w:rPr>
            </w:pPr>
            <w:r>
              <w:rPr>
                <w:lang w:val="ro-RO"/>
              </w:rPr>
              <w:t>24&lt;Amax</w:t>
            </w:r>
            <w:r>
              <w:rPr>
                <w:rFonts w:ascii="Arial Narrow" w:hAnsi="Arial Narrow"/>
                <w:lang w:val="ro-RO"/>
              </w:rPr>
              <w:t>≤</w:t>
            </w:r>
            <w:r>
              <w:rPr>
                <w:lang w:val="ro-RO"/>
              </w:rPr>
              <w:t>26</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4,0</w:t>
            </w:r>
          </w:p>
        </w:tc>
        <w:tc>
          <w:tcPr>
            <w:tcW w:w="1701" w:type="dxa"/>
            <w:shd w:val="clear" w:color="auto" w:fill="auto"/>
          </w:tcPr>
          <w:p w:rsidR="00903C8F" w:rsidRPr="00F4760D" w:rsidRDefault="00903C8F" w:rsidP="00B01E97">
            <w:pPr>
              <w:spacing w:after="0" w:line="240" w:lineRule="auto"/>
              <w:ind w:left="11"/>
              <w:jc w:val="center"/>
              <w:rPr>
                <w:lang w:val="ro-RO"/>
              </w:rPr>
            </w:pPr>
            <w:r>
              <w:rPr>
                <w:lang w:val="ro-RO"/>
              </w:rPr>
              <w:t>5,3</w:t>
            </w:r>
          </w:p>
        </w:tc>
      </w:tr>
      <w:tr w:rsidR="00903C8F" w:rsidRPr="00F4760D" w:rsidTr="00903C8F">
        <w:trPr>
          <w:trHeight w:val="223"/>
          <w:jc w:val="center"/>
        </w:trPr>
        <w:tc>
          <w:tcPr>
            <w:tcW w:w="3072" w:type="dxa"/>
            <w:shd w:val="clear" w:color="auto" w:fill="auto"/>
          </w:tcPr>
          <w:p w:rsidR="00903C8F" w:rsidRPr="00903C8F" w:rsidRDefault="00903C8F" w:rsidP="00903C8F">
            <w:pPr>
              <w:spacing w:after="0" w:line="240" w:lineRule="auto"/>
              <w:ind w:left="11"/>
              <w:jc w:val="center"/>
              <w:rPr>
                <w:lang w:val="ro-RO"/>
              </w:rPr>
            </w:pPr>
            <w:r w:rsidRPr="00903C8F">
              <w:rPr>
                <w:lang w:val="ro-RO"/>
              </w:rPr>
              <w:t>26&lt;Amax≤28</w:t>
            </w:r>
          </w:p>
        </w:tc>
        <w:tc>
          <w:tcPr>
            <w:tcW w:w="1701" w:type="dxa"/>
            <w:shd w:val="clear" w:color="auto" w:fill="auto"/>
          </w:tcPr>
          <w:p w:rsidR="00903C8F" w:rsidRPr="00903C8F" w:rsidRDefault="00903C8F" w:rsidP="00903C8F">
            <w:pPr>
              <w:spacing w:after="0"/>
              <w:ind w:left="11"/>
              <w:jc w:val="center"/>
              <w:rPr>
                <w:lang w:val="ro-RO"/>
              </w:rPr>
            </w:pPr>
            <w:r w:rsidRPr="00903C8F">
              <w:rPr>
                <w:lang w:val="ro-RO"/>
              </w:rPr>
              <w:t>4,2</w:t>
            </w:r>
          </w:p>
        </w:tc>
        <w:tc>
          <w:tcPr>
            <w:tcW w:w="1701" w:type="dxa"/>
            <w:shd w:val="clear" w:color="auto" w:fill="auto"/>
          </w:tcPr>
          <w:p w:rsidR="00903C8F" w:rsidRPr="00903C8F" w:rsidRDefault="00903C8F" w:rsidP="00903C8F">
            <w:pPr>
              <w:spacing w:after="0" w:line="240" w:lineRule="auto"/>
              <w:ind w:left="11"/>
              <w:jc w:val="center"/>
              <w:rPr>
                <w:lang w:val="ro-RO"/>
              </w:rPr>
            </w:pPr>
            <w:r w:rsidRPr="00903C8F">
              <w:rPr>
                <w:lang w:val="ro-RO"/>
              </w:rPr>
              <w:t>5,5</w:t>
            </w:r>
          </w:p>
        </w:tc>
      </w:tr>
      <w:tr w:rsidR="00903C8F" w:rsidRPr="00F4760D" w:rsidTr="00B01E97">
        <w:trPr>
          <w:jc w:val="center"/>
        </w:trPr>
        <w:tc>
          <w:tcPr>
            <w:tcW w:w="3072" w:type="dxa"/>
            <w:shd w:val="clear" w:color="auto" w:fill="auto"/>
          </w:tcPr>
          <w:p w:rsidR="00903C8F" w:rsidRPr="00F4760D" w:rsidRDefault="00903C8F" w:rsidP="00903C8F">
            <w:pPr>
              <w:spacing w:after="0" w:line="240" w:lineRule="auto"/>
              <w:ind w:left="11"/>
              <w:jc w:val="center"/>
              <w:rPr>
                <w:lang w:val="ro-RO"/>
              </w:rPr>
            </w:pPr>
            <w:r>
              <w:rPr>
                <w:lang w:val="ro-RO"/>
              </w:rPr>
              <w:t>28&lt;Amax</w:t>
            </w:r>
            <w:r w:rsidRPr="00903C8F">
              <w:rPr>
                <w:lang w:val="ro-RO"/>
              </w:rPr>
              <w:t>≤</w:t>
            </w:r>
            <w:r>
              <w:rPr>
                <w:lang w:val="ro-RO"/>
              </w:rPr>
              <w:t>30</w:t>
            </w:r>
          </w:p>
        </w:tc>
        <w:tc>
          <w:tcPr>
            <w:tcW w:w="1701" w:type="dxa"/>
            <w:shd w:val="clear" w:color="auto" w:fill="auto"/>
          </w:tcPr>
          <w:p w:rsidR="00903C8F" w:rsidRPr="00F4760D" w:rsidRDefault="00903C8F" w:rsidP="00903C8F">
            <w:pPr>
              <w:spacing w:after="0" w:line="240" w:lineRule="auto"/>
              <w:ind w:left="11"/>
              <w:jc w:val="center"/>
              <w:rPr>
                <w:lang w:val="ro-RO"/>
              </w:rPr>
            </w:pPr>
            <w:r>
              <w:rPr>
                <w:lang w:val="ro-RO"/>
              </w:rPr>
              <w:t>4,4</w:t>
            </w:r>
          </w:p>
        </w:tc>
        <w:tc>
          <w:tcPr>
            <w:tcW w:w="1701" w:type="dxa"/>
            <w:shd w:val="clear" w:color="auto" w:fill="auto"/>
          </w:tcPr>
          <w:p w:rsidR="00903C8F" w:rsidRPr="00F4760D" w:rsidRDefault="00903C8F" w:rsidP="00903C8F">
            <w:pPr>
              <w:spacing w:after="0" w:line="240" w:lineRule="auto"/>
              <w:ind w:left="11"/>
              <w:jc w:val="center"/>
              <w:rPr>
                <w:lang w:val="ro-RO"/>
              </w:rPr>
            </w:pPr>
            <w:r>
              <w:rPr>
                <w:lang w:val="ro-RO"/>
              </w:rPr>
              <w:t>5,7</w:t>
            </w:r>
          </w:p>
        </w:tc>
      </w:tr>
      <w:tr w:rsidR="00903C8F" w:rsidRPr="00F4760D" w:rsidTr="00B01E97">
        <w:trPr>
          <w:jc w:val="center"/>
        </w:trPr>
        <w:tc>
          <w:tcPr>
            <w:tcW w:w="3072" w:type="dxa"/>
            <w:shd w:val="clear" w:color="auto" w:fill="auto"/>
          </w:tcPr>
          <w:p w:rsidR="00903C8F" w:rsidRDefault="00903C8F" w:rsidP="00903C8F">
            <w:pPr>
              <w:spacing w:after="0" w:line="240" w:lineRule="auto"/>
              <w:ind w:left="11"/>
              <w:jc w:val="center"/>
              <w:rPr>
                <w:lang w:val="ro-RO"/>
              </w:rPr>
            </w:pPr>
            <w:r>
              <w:rPr>
                <w:lang w:val="ro-RO"/>
              </w:rPr>
              <w:t>30&lt;Amax</w:t>
            </w:r>
            <w:r w:rsidRPr="00903C8F">
              <w:rPr>
                <w:lang w:val="ro-RO"/>
              </w:rPr>
              <w:t>≤</w:t>
            </w:r>
            <w:r>
              <w:rPr>
                <w:lang w:val="ro-RO"/>
              </w:rPr>
              <w:t>32</w:t>
            </w:r>
          </w:p>
        </w:tc>
        <w:tc>
          <w:tcPr>
            <w:tcW w:w="1701" w:type="dxa"/>
            <w:shd w:val="clear" w:color="auto" w:fill="auto"/>
          </w:tcPr>
          <w:p w:rsidR="00903C8F" w:rsidRDefault="00903C8F" w:rsidP="00903C8F">
            <w:pPr>
              <w:spacing w:after="0" w:line="240" w:lineRule="auto"/>
              <w:ind w:left="11"/>
              <w:jc w:val="center"/>
              <w:rPr>
                <w:lang w:val="ro-RO"/>
              </w:rPr>
            </w:pPr>
            <w:r>
              <w:rPr>
                <w:lang w:val="ro-RO"/>
              </w:rPr>
              <w:t>4,7</w:t>
            </w:r>
          </w:p>
        </w:tc>
        <w:tc>
          <w:tcPr>
            <w:tcW w:w="1701" w:type="dxa"/>
            <w:shd w:val="clear" w:color="auto" w:fill="auto"/>
          </w:tcPr>
          <w:p w:rsidR="00903C8F" w:rsidRDefault="008F0A81" w:rsidP="00903C8F">
            <w:pPr>
              <w:spacing w:after="0" w:line="240" w:lineRule="auto"/>
              <w:ind w:left="11"/>
              <w:jc w:val="center"/>
              <w:rPr>
                <w:lang w:val="ro-RO"/>
              </w:rPr>
            </w:pPr>
            <w:r>
              <w:rPr>
                <w:lang w:val="ro-RO"/>
              </w:rPr>
              <w:t>5</w:t>
            </w:r>
            <w:r w:rsidR="00903C8F">
              <w:rPr>
                <w:lang w:val="ro-RO"/>
              </w:rPr>
              <w:t>,9</w:t>
            </w:r>
          </w:p>
        </w:tc>
      </w:tr>
      <w:tr w:rsidR="00903C8F" w:rsidRPr="00F4760D" w:rsidTr="00B01E97">
        <w:trPr>
          <w:jc w:val="center"/>
        </w:trPr>
        <w:tc>
          <w:tcPr>
            <w:tcW w:w="3072" w:type="dxa"/>
            <w:shd w:val="clear" w:color="auto" w:fill="auto"/>
          </w:tcPr>
          <w:p w:rsidR="00903C8F" w:rsidRDefault="00903C8F" w:rsidP="00903C8F">
            <w:pPr>
              <w:spacing w:after="0" w:line="240" w:lineRule="auto"/>
              <w:ind w:left="11"/>
              <w:jc w:val="center"/>
              <w:rPr>
                <w:lang w:val="ro-RO"/>
              </w:rPr>
            </w:pPr>
            <w:r>
              <w:rPr>
                <w:lang w:val="ro-RO"/>
              </w:rPr>
              <w:t>32&lt;Amax</w:t>
            </w:r>
            <w:r w:rsidRPr="00903C8F">
              <w:rPr>
                <w:lang w:val="ro-RO"/>
              </w:rPr>
              <w:t>≤</w:t>
            </w:r>
            <w:r>
              <w:rPr>
                <w:lang w:val="ro-RO"/>
              </w:rPr>
              <w:t>34</w:t>
            </w:r>
          </w:p>
        </w:tc>
        <w:tc>
          <w:tcPr>
            <w:tcW w:w="1701" w:type="dxa"/>
            <w:shd w:val="clear" w:color="auto" w:fill="auto"/>
          </w:tcPr>
          <w:p w:rsidR="00903C8F" w:rsidRDefault="00903C8F" w:rsidP="00903C8F">
            <w:pPr>
              <w:spacing w:after="0" w:line="240" w:lineRule="auto"/>
              <w:ind w:left="11"/>
              <w:jc w:val="center"/>
              <w:rPr>
                <w:lang w:val="ro-RO"/>
              </w:rPr>
            </w:pPr>
            <w:r>
              <w:rPr>
                <w:lang w:val="ro-RO"/>
              </w:rPr>
              <w:t>-</w:t>
            </w:r>
          </w:p>
        </w:tc>
        <w:tc>
          <w:tcPr>
            <w:tcW w:w="1701" w:type="dxa"/>
            <w:shd w:val="clear" w:color="auto" w:fill="auto"/>
          </w:tcPr>
          <w:p w:rsidR="00903C8F" w:rsidRDefault="00903C8F" w:rsidP="00903C8F">
            <w:pPr>
              <w:spacing w:after="0" w:line="240" w:lineRule="auto"/>
              <w:ind w:left="11"/>
              <w:jc w:val="center"/>
              <w:rPr>
                <w:lang w:val="ro-RO"/>
              </w:rPr>
            </w:pPr>
            <w:r>
              <w:rPr>
                <w:lang w:val="ro-RO"/>
              </w:rPr>
              <w:t>6,0</w:t>
            </w:r>
          </w:p>
        </w:tc>
      </w:tr>
      <w:tr w:rsidR="00903C8F" w:rsidRPr="00F4760D" w:rsidTr="00B01E97">
        <w:trPr>
          <w:jc w:val="center"/>
        </w:trPr>
        <w:tc>
          <w:tcPr>
            <w:tcW w:w="3072" w:type="dxa"/>
            <w:shd w:val="clear" w:color="auto" w:fill="auto"/>
          </w:tcPr>
          <w:p w:rsidR="00903C8F" w:rsidRDefault="00903C8F" w:rsidP="00903C8F">
            <w:pPr>
              <w:spacing w:after="0" w:line="240" w:lineRule="auto"/>
              <w:ind w:left="11"/>
              <w:jc w:val="center"/>
              <w:rPr>
                <w:lang w:val="ro-RO"/>
              </w:rPr>
            </w:pPr>
            <w:r>
              <w:rPr>
                <w:lang w:val="ro-RO"/>
              </w:rPr>
              <w:t>34&lt;Amax</w:t>
            </w:r>
            <w:r w:rsidRPr="00903C8F">
              <w:rPr>
                <w:lang w:val="ro-RO"/>
              </w:rPr>
              <w:t>≤</w:t>
            </w:r>
            <w:r>
              <w:rPr>
                <w:lang w:val="ro-RO"/>
              </w:rPr>
              <w:t>36</w:t>
            </w:r>
          </w:p>
        </w:tc>
        <w:tc>
          <w:tcPr>
            <w:tcW w:w="1701" w:type="dxa"/>
            <w:shd w:val="clear" w:color="auto" w:fill="auto"/>
          </w:tcPr>
          <w:p w:rsidR="00903C8F" w:rsidRDefault="00903C8F" w:rsidP="00903C8F">
            <w:pPr>
              <w:spacing w:after="0" w:line="240" w:lineRule="auto"/>
              <w:ind w:left="11"/>
              <w:jc w:val="center"/>
              <w:rPr>
                <w:lang w:val="ro-RO"/>
              </w:rPr>
            </w:pPr>
            <w:r>
              <w:rPr>
                <w:lang w:val="ro-RO"/>
              </w:rPr>
              <w:t>-</w:t>
            </w:r>
          </w:p>
        </w:tc>
        <w:tc>
          <w:tcPr>
            <w:tcW w:w="1701" w:type="dxa"/>
            <w:shd w:val="clear" w:color="auto" w:fill="auto"/>
          </w:tcPr>
          <w:p w:rsidR="00903C8F" w:rsidRDefault="00903C8F" w:rsidP="00903C8F">
            <w:pPr>
              <w:spacing w:after="0" w:line="240" w:lineRule="auto"/>
              <w:ind w:left="11"/>
              <w:jc w:val="center"/>
              <w:rPr>
                <w:lang w:val="ro-RO"/>
              </w:rPr>
            </w:pPr>
            <w:r>
              <w:rPr>
                <w:lang w:val="ro-RO"/>
              </w:rPr>
              <w:t>6,2</w:t>
            </w:r>
          </w:p>
        </w:tc>
      </w:tr>
      <w:tr w:rsidR="00903C8F" w:rsidRPr="00F4760D" w:rsidTr="00B01E97">
        <w:trPr>
          <w:jc w:val="center"/>
        </w:trPr>
        <w:tc>
          <w:tcPr>
            <w:tcW w:w="3072" w:type="dxa"/>
            <w:shd w:val="clear" w:color="auto" w:fill="auto"/>
          </w:tcPr>
          <w:p w:rsidR="00903C8F" w:rsidRDefault="00903C8F" w:rsidP="00903C8F">
            <w:pPr>
              <w:spacing w:after="0" w:line="240" w:lineRule="auto"/>
              <w:ind w:left="11"/>
              <w:jc w:val="center"/>
              <w:rPr>
                <w:lang w:val="ro-RO"/>
              </w:rPr>
            </w:pPr>
            <w:r>
              <w:rPr>
                <w:lang w:val="ro-RO"/>
              </w:rPr>
              <w:t>36&lt;Amax</w:t>
            </w:r>
            <w:r w:rsidRPr="00903C8F">
              <w:rPr>
                <w:lang w:val="ro-RO"/>
              </w:rPr>
              <w:t>≤</w:t>
            </w:r>
            <w:r>
              <w:rPr>
                <w:lang w:val="ro-RO"/>
              </w:rPr>
              <w:t>38</w:t>
            </w:r>
          </w:p>
        </w:tc>
        <w:tc>
          <w:tcPr>
            <w:tcW w:w="1701" w:type="dxa"/>
            <w:shd w:val="clear" w:color="auto" w:fill="auto"/>
          </w:tcPr>
          <w:p w:rsidR="00903C8F" w:rsidRDefault="00903C8F" w:rsidP="00903C8F">
            <w:pPr>
              <w:spacing w:after="0" w:line="240" w:lineRule="auto"/>
              <w:ind w:left="11"/>
              <w:jc w:val="center"/>
              <w:rPr>
                <w:lang w:val="ro-RO"/>
              </w:rPr>
            </w:pPr>
            <w:r>
              <w:rPr>
                <w:lang w:val="ro-RO"/>
              </w:rPr>
              <w:t>-</w:t>
            </w:r>
          </w:p>
        </w:tc>
        <w:tc>
          <w:tcPr>
            <w:tcW w:w="1701" w:type="dxa"/>
            <w:shd w:val="clear" w:color="auto" w:fill="auto"/>
          </w:tcPr>
          <w:p w:rsidR="00903C8F" w:rsidRDefault="00903C8F" w:rsidP="00903C8F">
            <w:pPr>
              <w:spacing w:after="0" w:line="240" w:lineRule="auto"/>
              <w:ind w:left="11"/>
              <w:jc w:val="center"/>
              <w:rPr>
                <w:lang w:val="ro-RO"/>
              </w:rPr>
            </w:pPr>
            <w:r>
              <w:rPr>
                <w:lang w:val="ro-RO"/>
              </w:rPr>
              <w:t>6,4</w:t>
            </w:r>
          </w:p>
        </w:tc>
      </w:tr>
      <w:tr w:rsidR="00903C8F" w:rsidRPr="00F4760D" w:rsidTr="00B01E97">
        <w:trPr>
          <w:jc w:val="center"/>
        </w:trPr>
        <w:tc>
          <w:tcPr>
            <w:tcW w:w="3072" w:type="dxa"/>
            <w:shd w:val="clear" w:color="auto" w:fill="auto"/>
          </w:tcPr>
          <w:p w:rsidR="00903C8F" w:rsidRDefault="00903C8F" w:rsidP="00903C8F">
            <w:pPr>
              <w:spacing w:after="0" w:line="240" w:lineRule="auto"/>
              <w:ind w:left="11"/>
              <w:jc w:val="center"/>
              <w:rPr>
                <w:lang w:val="ro-RO"/>
              </w:rPr>
            </w:pPr>
            <w:r>
              <w:rPr>
                <w:lang w:val="ro-RO"/>
              </w:rPr>
              <w:t>38&lt;Amax</w:t>
            </w:r>
            <w:r w:rsidRPr="00903C8F">
              <w:rPr>
                <w:lang w:val="ro-RO"/>
              </w:rPr>
              <w:t>≤</w:t>
            </w:r>
            <w:r>
              <w:rPr>
                <w:lang w:val="ro-RO"/>
              </w:rPr>
              <w:t>40</w:t>
            </w:r>
          </w:p>
        </w:tc>
        <w:tc>
          <w:tcPr>
            <w:tcW w:w="1701" w:type="dxa"/>
            <w:shd w:val="clear" w:color="auto" w:fill="auto"/>
          </w:tcPr>
          <w:p w:rsidR="00903C8F" w:rsidRDefault="00903C8F" w:rsidP="00903C8F">
            <w:pPr>
              <w:spacing w:after="0" w:line="240" w:lineRule="auto"/>
              <w:ind w:left="11"/>
              <w:jc w:val="center"/>
              <w:rPr>
                <w:lang w:val="ro-RO"/>
              </w:rPr>
            </w:pPr>
            <w:r>
              <w:rPr>
                <w:lang w:val="ro-RO"/>
              </w:rPr>
              <w:t>-</w:t>
            </w:r>
          </w:p>
        </w:tc>
        <w:tc>
          <w:tcPr>
            <w:tcW w:w="1701" w:type="dxa"/>
            <w:shd w:val="clear" w:color="auto" w:fill="auto"/>
          </w:tcPr>
          <w:p w:rsidR="00903C8F" w:rsidRDefault="00903C8F" w:rsidP="00903C8F">
            <w:pPr>
              <w:spacing w:after="0" w:line="240" w:lineRule="auto"/>
              <w:ind w:left="11"/>
              <w:jc w:val="center"/>
              <w:rPr>
                <w:lang w:val="ro-RO"/>
              </w:rPr>
            </w:pPr>
            <w:r>
              <w:rPr>
                <w:lang w:val="ro-RO"/>
              </w:rPr>
              <w:t>6,6</w:t>
            </w:r>
          </w:p>
        </w:tc>
      </w:tr>
    </w:tbl>
    <w:p w:rsidR="00841606" w:rsidRDefault="00841606" w:rsidP="00A0364B">
      <w:pPr>
        <w:tabs>
          <w:tab w:val="left" w:pos="1340"/>
          <w:tab w:val="left" w:pos="1741"/>
        </w:tabs>
        <w:spacing w:after="0"/>
        <w:ind w:left="0"/>
        <w:rPr>
          <w:lang w:val="ro-RO"/>
        </w:rPr>
      </w:pPr>
    </w:p>
    <w:p w:rsidR="00903C8F" w:rsidRPr="00F4760D" w:rsidRDefault="00903C8F" w:rsidP="00A0364B">
      <w:pPr>
        <w:tabs>
          <w:tab w:val="left" w:pos="1340"/>
          <w:tab w:val="left" w:pos="1741"/>
        </w:tabs>
        <w:spacing w:after="0"/>
        <w:ind w:left="0"/>
        <w:rPr>
          <w:lang w:val="ro-RO"/>
        </w:rPr>
      </w:pPr>
    </w:p>
    <w:p w:rsidR="00FB30ED" w:rsidRPr="00F4760D" w:rsidRDefault="00E82F06" w:rsidP="0090586D">
      <w:pPr>
        <w:pStyle w:val="ListParagraph"/>
        <w:numPr>
          <w:ilvl w:val="0"/>
          <w:numId w:val="2"/>
        </w:numPr>
        <w:spacing w:after="0"/>
        <w:ind w:left="924" w:hanging="357"/>
        <w:rPr>
          <w:b/>
          <w:bCs/>
          <w:lang w:val="ro-RO"/>
        </w:rPr>
      </w:pPr>
      <w:r w:rsidRPr="00F4760D">
        <w:rPr>
          <w:b/>
          <w:bCs/>
          <w:lang w:val="ro-RO"/>
        </w:rPr>
        <w:t xml:space="preserve">La </w:t>
      </w:r>
      <w:r w:rsidR="001A1A93">
        <w:rPr>
          <w:b/>
          <w:bCs/>
          <w:lang w:val="ro-RO"/>
        </w:rPr>
        <w:t>punctu</w:t>
      </w:r>
      <w:r w:rsidRPr="00F4760D">
        <w:rPr>
          <w:b/>
          <w:bCs/>
          <w:lang w:val="ro-RO"/>
        </w:rPr>
        <w:t>l</w:t>
      </w:r>
      <w:r w:rsidR="00FB30ED" w:rsidRPr="00F4760D">
        <w:rPr>
          <w:b/>
          <w:bCs/>
          <w:lang w:val="ro-RO"/>
        </w:rPr>
        <w:t xml:space="preserve"> 3.7.13</w:t>
      </w:r>
      <w:r w:rsidRPr="00F4760D">
        <w:rPr>
          <w:b/>
          <w:bCs/>
          <w:lang w:val="ro-RO"/>
        </w:rPr>
        <w:t>,</w:t>
      </w:r>
      <w:r w:rsidR="00FB30ED" w:rsidRPr="00F4760D">
        <w:rPr>
          <w:b/>
          <w:bCs/>
          <w:lang w:val="ro-RO"/>
        </w:rPr>
        <w:t xml:space="preserve"> </w:t>
      </w:r>
      <w:r w:rsidRPr="00F4760D">
        <w:rPr>
          <w:b/>
          <w:bCs/>
          <w:lang w:val="ro-RO"/>
        </w:rPr>
        <w:t xml:space="preserve">alineatul (2) </w:t>
      </w:r>
      <w:r w:rsidR="00FB30ED" w:rsidRPr="00F4760D">
        <w:rPr>
          <w:b/>
          <w:bCs/>
          <w:lang w:val="ro-RO"/>
        </w:rPr>
        <w:t>se modifică şi va avea următorul cuprins:</w:t>
      </w:r>
    </w:p>
    <w:p w:rsidR="00FB30ED" w:rsidRPr="00F4760D" w:rsidRDefault="00FB30ED" w:rsidP="00A0364B">
      <w:pPr>
        <w:spacing w:after="0"/>
        <w:ind w:left="0" w:firstLine="567"/>
        <w:rPr>
          <w:lang w:val="ro-RO"/>
        </w:rPr>
      </w:pPr>
      <w:r w:rsidRPr="00F4760D">
        <w:rPr>
          <w:lang w:val="ro-RO"/>
        </w:rPr>
        <w:t xml:space="preserve">”(2) Distanţa maximă de parcurs din orice punct al clădirii până la cel mai apropiat declanşator de alarmă nu va depăşi </w:t>
      </w:r>
      <w:r w:rsidR="00523095" w:rsidRPr="00F4760D">
        <w:rPr>
          <w:lang w:val="ro-RO"/>
        </w:rPr>
        <w:t>20</w:t>
      </w:r>
      <w:r w:rsidR="00A92B76" w:rsidRPr="00F4760D">
        <w:rPr>
          <w:lang w:val="ro-RO"/>
        </w:rPr>
        <w:t xml:space="preserve"> </w:t>
      </w:r>
      <w:r w:rsidR="00523095" w:rsidRPr="00F4760D">
        <w:rPr>
          <w:lang w:val="ro-RO"/>
        </w:rPr>
        <w:t>m în cazul clădirilor înalte sau</w:t>
      </w:r>
      <w:r w:rsidRPr="00F4760D">
        <w:rPr>
          <w:lang w:val="ro-RO"/>
        </w:rPr>
        <w:t xml:space="preserve"> cu aglomerări de persoane, respectiv 15</w:t>
      </w:r>
      <w:r w:rsidR="00A92B76" w:rsidRPr="00F4760D">
        <w:rPr>
          <w:lang w:val="ro-RO"/>
        </w:rPr>
        <w:t xml:space="preserve"> </w:t>
      </w:r>
      <w:r w:rsidRPr="00F4760D">
        <w:rPr>
          <w:lang w:val="ro-RO"/>
        </w:rPr>
        <w:t xml:space="preserve">m la clădirile </w:t>
      </w:r>
      <w:r w:rsidR="008719D9" w:rsidRPr="00F4760D">
        <w:rPr>
          <w:lang w:val="ro-RO"/>
        </w:rPr>
        <w:t xml:space="preserve">foarte înalte </w:t>
      </w:r>
      <w:r w:rsidR="00523095" w:rsidRPr="00F4760D">
        <w:rPr>
          <w:lang w:val="ro-RO"/>
        </w:rPr>
        <w:t xml:space="preserve">ori </w:t>
      </w:r>
      <w:r w:rsidRPr="00F4760D">
        <w:rPr>
          <w:lang w:val="ro-RO"/>
        </w:rPr>
        <w:t>cu persoane</w:t>
      </w:r>
      <w:r w:rsidR="00A92B76" w:rsidRPr="00F4760D">
        <w:rPr>
          <w:lang w:val="ro-RO"/>
        </w:rPr>
        <w:t xml:space="preserve"> care nu se pot evacua singure</w:t>
      </w:r>
      <w:r w:rsidRPr="00F4760D">
        <w:rPr>
          <w:lang w:val="ro-RO"/>
        </w:rPr>
        <w:t>.”</w:t>
      </w:r>
    </w:p>
    <w:p w:rsidR="00FB30ED" w:rsidRPr="00F4760D" w:rsidRDefault="00FB30ED" w:rsidP="001A2315">
      <w:pPr>
        <w:tabs>
          <w:tab w:val="left" w:pos="1340"/>
          <w:tab w:val="left" w:pos="1741"/>
          <w:tab w:val="left" w:pos="4688"/>
        </w:tabs>
        <w:spacing w:after="0"/>
        <w:ind w:left="0"/>
        <w:rPr>
          <w:lang w:val="ro-RO"/>
        </w:rPr>
      </w:pPr>
    </w:p>
    <w:p w:rsidR="00FB30ED" w:rsidRPr="00F4760D" w:rsidRDefault="00E82F06" w:rsidP="0090586D">
      <w:pPr>
        <w:pStyle w:val="ListParagraph"/>
        <w:numPr>
          <w:ilvl w:val="0"/>
          <w:numId w:val="2"/>
        </w:numPr>
        <w:spacing w:after="0"/>
        <w:ind w:left="924" w:hanging="357"/>
        <w:rPr>
          <w:b/>
          <w:bCs/>
          <w:lang w:val="ro-RO"/>
        </w:rPr>
      </w:pPr>
      <w:r w:rsidRPr="00F4760D">
        <w:rPr>
          <w:b/>
          <w:bCs/>
          <w:lang w:val="ro-RO"/>
        </w:rPr>
        <w:t>La</w:t>
      </w:r>
      <w:r w:rsidR="001A1A93">
        <w:rPr>
          <w:b/>
          <w:bCs/>
          <w:lang w:val="ro-RO"/>
        </w:rPr>
        <w:t xml:space="preserve"> punctul</w:t>
      </w:r>
      <w:r w:rsidRPr="00F4760D">
        <w:rPr>
          <w:b/>
          <w:bCs/>
          <w:lang w:val="ro-RO"/>
        </w:rPr>
        <w:t xml:space="preserve"> 3.8.2</w:t>
      </w:r>
      <w:r w:rsidR="00A92B76" w:rsidRPr="00F4760D">
        <w:rPr>
          <w:b/>
          <w:bCs/>
          <w:lang w:val="ro-RO"/>
        </w:rPr>
        <w:t>.5</w:t>
      </w:r>
      <w:r w:rsidRPr="00F4760D">
        <w:rPr>
          <w:b/>
          <w:bCs/>
          <w:lang w:val="ro-RO"/>
        </w:rPr>
        <w:t xml:space="preserve">, alineatul (1) </w:t>
      </w:r>
      <w:r w:rsidR="00FB30ED" w:rsidRPr="00F4760D">
        <w:rPr>
          <w:b/>
          <w:bCs/>
          <w:lang w:val="ro-RO"/>
        </w:rPr>
        <w:t>se modifică şi va avea următorul cuprins:</w:t>
      </w:r>
    </w:p>
    <w:p w:rsidR="00FB30ED" w:rsidRPr="00F4760D" w:rsidRDefault="00FB30ED" w:rsidP="001A2315">
      <w:pPr>
        <w:spacing w:after="0"/>
        <w:ind w:left="0" w:firstLine="567"/>
        <w:rPr>
          <w:lang w:val="ro-RO"/>
        </w:rPr>
      </w:pPr>
      <w:r w:rsidRPr="00F4760D">
        <w:rPr>
          <w:lang w:val="ro-RO"/>
        </w:rPr>
        <w:t>”(1)</w:t>
      </w:r>
      <w:r w:rsidR="00E82F06" w:rsidRPr="00F4760D">
        <w:rPr>
          <w:lang w:val="ro-RO"/>
        </w:rPr>
        <w:t xml:space="preserve"> </w:t>
      </w:r>
      <w:r w:rsidRPr="00F4760D">
        <w:rPr>
          <w:lang w:val="ro-RO"/>
        </w:rPr>
        <w:t>Sunetul alarmei de incendiu va avea un nivel cu cel puţin 5 dB deasupra oricărui alt sunet care ar putea să dureze pe o perioadă mai mare de 30 de secunde, dar nu mai mic de 65</w:t>
      </w:r>
      <w:r w:rsidR="00A92B76" w:rsidRPr="00F4760D">
        <w:rPr>
          <w:lang w:val="ro-RO"/>
        </w:rPr>
        <w:t xml:space="preserve"> </w:t>
      </w:r>
      <w:r w:rsidRPr="00F4760D">
        <w:rPr>
          <w:lang w:val="ro-RO"/>
        </w:rPr>
        <w:t>dB. Dacă alarma are scopul de a trezi persoane din somn, atunci nivelul minim trebuie să fie de 75 dB.”</w:t>
      </w:r>
    </w:p>
    <w:p w:rsidR="00FB30ED" w:rsidRPr="00F4760D" w:rsidRDefault="00FB30ED" w:rsidP="001A2315">
      <w:pPr>
        <w:tabs>
          <w:tab w:val="left" w:pos="1080"/>
        </w:tabs>
        <w:spacing w:after="0"/>
        <w:ind w:left="0"/>
        <w:rPr>
          <w:lang w:val="ro-RO"/>
        </w:rPr>
      </w:pPr>
    </w:p>
    <w:p w:rsidR="00FB30ED" w:rsidRPr="00F4760D" w:rsidRDefault="001A1A93" w:rsidP="0090586D">
      <w:pPr>
        <w:pStyle w:val="ListParagraph"/>
        <w:numPr>
          <w:ilvl w:val="0"/>
          <w:numId w:val="2"/>
        </w:numPr>
        <w:spacing w:after="0"/>
        <w:ind w:left="924" w:hanging="357"/>
        <w:rPr>
          <w:b/>
          <w:bCs/>
          <w:lang w:val="ro-RO"/>
        </w:rPr>
      </w:pPr>
      <w:r>
        <w:rPr>
          <w:b/>
          <w:bCs/>
          <w:lang w:val="ro-RO"/>
        </w:rPr>
        <w:t>Punctul</w:t>
      </w:r>
      <w:r w:rsidR="00FB30ED" w:rsidRPr="00F4760D">
        <w:rPr>
          <w:b/>
          <w:bCs/>
          <w:lang w:val="ro-RO"/>
        </w:rPr>
        <w:t xml:space="preserve"> 3.8.4.1 se modifică şi va avea următorul cuprins:</w:t>
      </w:r>
    </w:p>
    <w:p w:rsidR="00FB30ED" w:rsidRPr="00F4760D" w:rsidRDefault="00FB30ED" w:rsidP="001A2315">
      <w:pPr>
        <w:spacing w:after="0"/>
        <w:ind w:left="0" w:firstLine="567"/>
        <w:rPr>
          <w:lang w:val="ro-RO"/>
        </w:rPr>
      </w:pPr>
      <w:r w:rsidRPr="00F4760D">
        <w:rPr>
          <w:lang w:val="ro-RO"/>
        </w:rPr>
        <w:t>”3.8.4.1 În zone în care nivelul zgomotului ambiental depăşeşte 90 dB, în zone în care este necesară o protecţie la zgomot şi în zonele în</w:t>
      </w:r>
      <w:r w:rsidR="00A25D45" w:rsidRPr="00F4760D">
        <w:rPr>
          <w:lang w:val="ro-RO"/>
        </w:rPr>
        <w:t xml:space="preserve"> care se pot afla persoane cu de</w:t>
      </w:r>
      <w:r w:rsidRPr="00F4760D">
        <w:rPr>
          <w:lang w:val="ro-RO"/>
        </w:rPr>
        <w:t>zabilităţi auditive, precum şi în alte situaţii stabilite de proiectanţii sistemului de securitate se prevăd numai dispozitivele de alarmare vizuale.”</w:t>
      </w:r>
    </w:p>
    <w:p w:rsidR="001C41FA" w:rsidRPr="00F4760D" w:rsidRDefault="001C41FA" w:rsidP="001C41FA">
      <w:pPr>
        <w:pStyle w:val="ListParagraph"/>
        <w:spacing w:after="0"/>
        <w:ind w:left="924"/>
        <w:rPr>
          <w:b/>
          <w:bCs/>
          <w:lang w:val="ro-RO"/>
        </w:rPr>
      </w:pPr>
    </w:p>
    <w:p w:rsidR="00BE05F8" w:rsidRPr="00F4760D" w:rsidRDefault="0083439A" w:rsidP="0090586D">
      <w:pPr>
        <w:pStyle w:val="ListParagraph"/>
        <w:numPr>
          <w:ilvl w:val="0"/>
          <w:numId w:val="2"/>
        </w:numPr>
        <w:spacing w:after="0"/>
        <w:ind w:left="924" w:hanging="357"/>
        <w:rPr>
          <w:b/>
          <w:bCs/>
          <w:lang w:val="ro-RO"/>
        </w:rPr>
      </w:pPr>
      <w:r w:rsidRPr="00F4760D">
        <w:rPr>
          <w:b/>
          <w:bCs/>
          <w:lang w:val="ro-RO"/>
        </w:rPr>
        <w:t xml:space="preserve"> </w:t>
      </w:r>
      <w:r w:rsidR="001A1A93">
        <w:rPr>
          <w:b/>
          <w:bCs/>
          <w:lang w:val="ro-RO"/>
        </w:rPr>
        <w:t>Punctul</w:t>
      </w:r>
      <w:r w:rsidRPr="00F4760D">
        <w:rPr>
          <w:b/>
          <w:bCs/>
          <w:lang w:val="ro-RO"/>
        </w:rPr>
        <w:t xml:space="preserve"> 3.9.1.7 se modifică şi va avea următorul cuprins:</w:t>
      </w:r>
    </w:p>
    <w:p w:rsidR="0083439A" w:rsidRPr="00F4760D" w:rsidRDefault="0083439A" w:rsidP="0083439A">
      <w:pPr>
        <w:pStyle w:val="ListParagraph"/>
        <w:spacing w:after="0"/>
        <w:ind w:left="924"/>
        <w:rPr>
          <w:bCs/>
          <w:lang w:val="ro-RO"/>
        </w:rPr>
      </w:pPr>
      <w:bookmarkStart w:id="0" w:name="_GoBack"/>
      <w:bookmarkEnd w:id="0"/>
      <w:r w:rsidRPr="000E2A52">
        <w:rPr>
          <w:bCs/>
          <w:lang w:val="ro-RO"/>
        </w:rPr>
        <w:t>„</w:t>
      </w:r>
      <w:r w:rsidR="00042581" w:rsidRPr="000E2A52">
        <w:rPr>
          <w:bCs/>
          <w:lang w:val="ro-RO"/>
        </w:rPr>
        <w:t>La intrările destinate accesului forțelor de intervenție trebuie amplasat un dispozitiv de alarmare optică</w:t>
      </w:r>
      <w:r w:rsidRPr="000E2A52">
        <w:rPr>
          <w:bCs/>
          <w:lang w:val="ro-RO"/>
        </w:rPr>
        <w:t>.”</w:t>
      </w:r>
    </w:p>
    <w:p w:rsidR="0083439A" w:rsidRPr="00F4760D" w:rsidRDefault="0083439A" w:rsidP="00BE05F8">
      <w:pPr>
        <w:pStyle w:val="ListParagraph"/>
        <w:spacing w:after="0"/>
        <w:ind w:left="924"/>
        <w:rPr>
          <w:b/>
          <w:bCs/>
          <w:lang w:val="ro-RO"/>
        </w:rPr>
      </w:pPr>
    </w:p>
    <w:p w:rsidR="0083439A" w:rsidRPr="00F4760D" w:rsidRDefault="0083439A" w:rsidP="0090586D">
      <w:pPr>
        <w:pStyle w:val="ListParagraph"/>
        <w:numPr>
          <w:ilvl w:val="0"/>
          <w:numId w:val="2"/>
        </w:numPr>
        <w:spacing w:after="0"/>
        <w:ind w:left="924" w:hanging="357"/>
        <w:rPr>
          <w:b/>
          <w:bCs/>
          <w:lang w:val="ro-RO"/>
        </w:rPr>
      </w:pPr>
      <w:r w:rsidRPr="00F4760D">
        <w:rPr>
          <w:b/>
          <w:bCs/>
          <w:lang w:val="ro-RO"/>
        </w:rPr>
        <w:t xml:space="preserve"> </w:t>
      </w:r>
      <w:r w:rsidR="001A1A93">
        <w:rPr>
          <w:b/>
          <w:bCs/>
          <w:lang w:val="ro-RO"/>
        </w:rPr>
        <w:t>Punctu</w:t>
      </w:r>
      <w:r w:rsidRPr="00F4760D">
        <w:rPr>
          <w:b/>
          <w:bCs/>
          <w:lang w:val="ro-RO"/>
        </w:rPr>
        <w:t>l 3.9.2.4 se modifică şi va avea următorul cuprins</w:t>
      </w:r>
      <w:r w:rsidRPr="00F4760D">
        <w:rPr>
          <w:b/>
          <w:bCs/>
        </w:rPr>
        <w:t>:</w:t>
      </w:r>
    </w:p>
    <w:p w:rsidR="0083439A" w:rsidRPr="00F4760D" w:rsidRDefault="0083439A" w:rsidP="0083439A">
      <w:pPr>
        <w:pStyle w:val="ListParagraph"/>
        <w:spacing w:after="0"/>
        <w:ind w:left="924"/>
        <w:rPr>
          <w:bCs/>
          <w:lang w:val="ro-RO"/>
        </w:rPr>
      </w:pPr>
      <w:r w:rsidRPr="00F4760D">
        <w:rPr>
          <w:bCs/>
          <w:lang w:val="ro-RO"/>
        </w:rPr>
        <w:t>„Dacă este necesară montarea ECS în spaţii care nu îndeplinesc condiţiile de la 3.9.2.1 şi</w:t>
      </w:r>
      <w:r w:rsidR="00C16B66" w:rsidRPr="00F4760D">
        <w:rPr>
          <w:bCs/>
          <w:lang w:val="ro-RO"/>
        </w:rPr>
        <w:t xml:space="preserve"> 3.9.2.2, atunci amplasarea echipamentelor de control şi semnalizare aferente IDSAI se realizează în încăperi special destinate separate prin elemente de construcţii incombustibile clasa de reacţie la foc A1 ori A2</w:t>
      </w:r>
      <w:r w:rsidR="00C16B66" w:rsidRPr="00F4760D">
        <w:rPr>
          <w:bCs/>
        </w:rPr>
        <w:t>-s1</w:t>
      </w:r>
      <w:r w:rsidR="00C16B66" w:rsidRPr="00F4760D">
        <w:rPr>
          <w:bCs/>
          <w:lang w:val="ro-RO"/>
        </w:rPr>
        <w:t>d0, cu rezistenţa la foc minimum REI60 pentru planşee  şi minimum EI60 pentru pereţi. Golurile de acces</w:t>
      </w:r>
      <w:r w:rsidR="00AF7FC0" w:rsidRPr="00F4760D">
        <w:rPr>
          <w:bCs/>
          <w:lang w:val="ro-RO"/>
        </w:rPr>
        <w:t xml:space="preserve"> în aceste încăperi vor fi protejate cu uşi rezistente la foc EI</w:t>
      </w:r>
      <w:r w:rsidR="00AF7FC0" w:rsidRPr="00F4760D">
        <w:rPr>
          <w:bCs/>
          <w:vertAlign w:val="subscript"/>
          <w:lang w:val="ro-RO"/>
        </w:rPr>
        <w:t>2</w:t>
      </w:r>
      <w:r w:rsidR="00AF7FC0" w:rsidRPr="00F4760D">
        <w:rPr>
          <w:bCs/>
          <w:lang w:val="ro-RO"/>
        </w:rPr>
        <w:t>30</w:t>
      </w:r>
      <w:r w:rsidR="00AF7FC0" w:rsidRPr="00F4760D">
        <w:rPr>
          <w:bCs/>
        </w:rPr>
        <w:t xml:space="preserve">-C. </w:t>
      </w:r>
      <w:proofErr w:type="spellStart"/>
      <w:r w:rsidR="00AF7FC0" w:rsidRPr="00F4760D">
        <w:rPr>
          <w:bCs/>
        </w:rPr>
        <w:t>Aceste</w:t>
      </w:r>
      <w:proofErr w:type="spellEnd"/>
      <w:r w:rsidR="00AF7FC0" w:rsidRPr="00F4760D">
        <w:rPr>
          <w:bCs/>
        </w:rPr>
        <w:t xml:space="preserve"> </w:t>
      </w:r>
      <w:r w:rsidR="00AF7FC0" w:rsidRPr="00F4760D">
        <w:rPr>
          <w:bCs/>
          <w:lang w:val="ro-RO"/>
        </w:rPr>
        <w:t xml:space="preserve">încăperi, se prevăd cu minimum o priză de </w:t>
      </w:r>
      <w:r w:rsidR="00AF7FC0" w:rsidRPr="00F4760D">
        <w:rPr>
          <w:bCs/>
          <w:lang w:val="ro-RO"/>
        </w:rPr>
        <w:lastRenderedPageBreak/>
        <w:t>16A</w:t>
      </w:r>
      <w:r w:rsidR="00AF7FC0" w:rsidRPr="00F4760D">
        <w:rPr>
          <w:bCs/>
        </w:rPr>
        <w:t xml:space="preserve">/230V </w:t>
      </w:r>
      <w:proofErr w:type="spellStart"/>
      <w:r w:rsidR="00AF7FC0" w:rsidRPr="00F4760D">
        <w:rPr>
          <w:bCs/>
        </w:rPr>
        <w:t>pentru</w:t>
      </w:r>
      <w:proofErr w:type="spellEnd"/>
      <w:r w:rsidR="00AF7FC0" w:rsidRPr="00F4760D">
        <w:rPr>
          <w:bCs/>
        </w:rPr>
        <w:t xml:space="preserve"> l</w:t>
      </w:r>
      <w:r w:rsidR="00AF7FC0" w:rsidRPr="00F4760D">
        <w:rPr>
          <w:bCs/>
          <w:lang w:val="ro-RO"/>
        </w:rPr>
        <w:t>ămpi şi unelte (scule, accesorii) portabile, alimentată din circuitele sistemelor cu rol de securitate la incendiu.”</w:t>
      </w:r>
    </w:p>
    <w:p w:rsidR="0083439A" w:rsidRPr="00F4760D" w:rsidRDefault="0083439A" w:rsidP="0083439A">
      <w:pPr>
        <w:pStyle w:val="ListParagraph"/>
        <w:spacing w:after="0"/>
        <w:ind w:left="924"/>
        <w:rPr>
          <w:b/>
          <w:bCs/>
          <w:lang w:val="ro-RO"/>
        </w:rPr>
      </w:pPr>
    </w:p>
    <w:p w:rsidR="00E37E8E" w:rsidRPr="00F4760D" w:rsidRDefault="001A1A93" w:rsidP="0090586D">
      <w:pPr>
        <w:pStyle w:val="ListParagraph"/>
        <w:numPr>
          <w:ilvl w:val="0"/>
          <w:numId w:val="2"/>
        </w:numPr>
        <w:spacing w:after="0"/>
        <w:ind w:left="924" w:hanging="357"/>
        <w:rPr>
          <w:b/>
          <w:bCs/>
          <w:lang w:val="ro-RO"/>
        </w:rPr>
      </w:pPr>
      <w:r>
        <w:rPr>
          <w:b/>
          <w:bCs/>
          <w:lang w:val="ro-RO"/>
        </w:rPr>
        <w:t>Pct</w:t>
      </w:r>
      <w:r w:rsidR="00E37E8E" w:rsidRPr="00F4760D">
        <w:rPr>
          <w:b/>
          <w:bCs/>
          <w:lang w:val="ro-RO"/>
        </w:rPr>
        <w:t>. 3.9.2.5 se abrogă.</w:t>
      </w:r>
    </w:p>
    <w:p w:rsidR="00E37E8E" w:rsidRPr="00F4760D" w:rsidRDefault="00E37E8E" w:rsidP="00E37E8E">
      <w:pPr>
        <w:pStyle w:val="ListParagraph"/>
        <w:spacing w:after="0"/>
        <w:ind w:left="924"/>
        <w:rPr>
          <w:b/>
          <w:bCs/>
          <w:lang w:val="ro-RO"/>
        </w:rPr>
      </w:pPr>
    </w:p>
    <w:p w:rsidR="00FB30ED" w:rsidRPr="00F4760D" w:rsidRDefault="001A1A93" w:rsidP="0090586D">
      <w:pPr>
        <w:pStyle w:val="ListParagraph"/>
        <w:numPr>
          <w:ilvl w:val="0"/>
          <w:numId w:val="2"/>
        </w:numPr>
        <w:spacing w:after="0"/>
        <w:ind w:left="924" w:hanging="357"/>
        <w:rPr>
          <w:b/>
          <w:bCs/>
          <w:lang w:val="ro-RO"/>
        </w:rPr>
      </w:pPr>
      <w:r>
        <w:rPr>
          <w:b/>
          <w:bCs/>
          <w:lang w:val="ro-RO"/>
        </w:rPr>
        <w:t>Pct</w:t>
      </w:r>
      <w:r w:rsidR="00FB30ED" w:rsidRPr="00F4760D">
        <w:rPr>
          <w:b/>
          <w:bCs/>
          <w:lang w:val="ro-RO"/>
        </w:rPr>
        <w:t>. 3.9.2.6 se abrogă.</w:t>
      </w:r>
    </w:p>
    <w:p w:rsidR="00FB30ED" w:rsidRPr="00F4760D" w:rsidRDefault="00FB30ED" w:rsidP="001A2315">
      <w:pPr>
        <w:tabs>
          <w:tab w:val="left" w:pos="1340"/>
          <w:tab w:val="left" w:pos="1741"/>
          <w:tab w:val="left" w:pos="4688"/>
        </w:tabs>
        <w:spacing w:after="0"/>
        <w:ind w:left="0"/>
        <w:rPr>
          <w:lang w:val="ro-RO"/>
        </w:rPr>
      </w:pPr>
    </w:p>
    <w:p w:rsidR="00FB30ED" w:rsidRPr="00F4760D" w:rsidRDefault="001A1A93" w:rsidP="0090586D">
      <w:pPr>
        <w:pStyle w:val="ListParagraph"/>
        <w:numPr>
          <w:ilvl w:val="0"/>
          <w:numId w:val="2"/>
        </w:numPr>
        <w:spacing w:after="0"/>
        <w:ind w:left="924" w:hanging="357"/>
        <w:rPr>
          <w:b/>
          <w:bCs/>
          <w:lang w:val="ro-RO"/>
        </w:rPr>
      </w:pPr>
      <w:r>
        <w:rPr>
          <w:b/>
          <w:bCs/>
          <w:lang w:val="ro-RO"/>
        </w:rPr>
        <w:t>Punctele</w:t>
      </w:r>
      <w:r w:rsidR="00FB30ED" w:rsidRPr="00F4760D">
        <w:rPr>
          <w:b/>
          <w:bCs/>
          <w:lang w:val="ro-RO"/>
        </w:rPr>
        <w:t xml:space="preserve"> 3.9.2.7 </w:t>
      </w:r>
      <w:r w:rsidR="00A92B76" w:rsidRPr="00F4760D">
        <w:rPr>
          <w:b/>
          <w:bCs/>
          <w:lang w:val="ro-RO"/>
        </w:rPr>
        <w:t xml:space="preserve">şi </w:t>
      </w:r>
      <w:r w:rsidR="001A2315" w:rsidRPr="00F4760D">
        <w:rPr>
          <w:b/>
          <w:bCs/>
          <w:lang w:val="ro-RO"/>
        </w:rPr>
        <w:t xml:space="preserve">3.9.2.8 </w:t>
      </w:r>
      <w:r w:rsidR="00FB30ED" w:rsidRPr="00F4760D">
        <w:rPr>
          <w:b/>
          <w:bCs/>
          <w:lang w:val="ro-RO"/>
        </w:rPr>
        <w:t>se modifică ş</w:t>
      </w:r>
      <w:r w:rsidR="001A2315" w:rsidRPr="00F4760D">
        <w:rPr>
          <w:b/>
          <w:bCs/>
          <w:lang w:val="ro-RO"/>
        </w:rPr>
        <w:t>i vor</w:t>
      </w:r>
      <w:r w:rsidR="00FB30ED" w:rsidRPr="00F4760D">
        <w:rPr>
          <w:b/>
          <w:bCs/>
          <w:lang w:val="ro-RO"/>
        </w:rPr>
        <w:t xml:space="preserve"> avea următorul cuprins:</w:t>
      </w:r>
    </w:p>
    <w:p w:rsidR="00FB30ED" w:rsidRPr="00F4760D" w:rsidRDefault="00FB30ED" w:rsidP="001A2315">
      <w:pPr>
        <w:spacing w:after="0"/>
        <w:ind w:left="0" w:firstLine="567"/>
        <w:rPr>
          <w:lang w:val="ro-RO"/>
        </w:rPr>
      </w:pPr>
      <w:r w:rsidRPr="00F4760D">
        <w:rPr>
          <w:lang w:val="ro-RO"/>
        </w:rPr>
        <w:t>„3.9.2.7 În încăperile în care sunt amplasate</w:t>
      </w:r>
      <w:r w:rsidR="001A2315" w:rsidRPr="00F4760D">
        <w:rPr>
          <w:lang w:val="ro-RO"/>
        </w:rPr>
        <w:t xml:space="preserve"> </w:t>
      </w:r>
      <w:r w:rsidRPr="00F4760D">
        <w:rPr>
          <w:lang w:val="ro-RO"/>
        </w:rPr>
        <w:t>ECS se va instala un post telefonic</w:t>
      </w:r>
      <w:r w:rsidR="00E37E8E" w:rsidRPr="00F4760D">
        <w:rPr>
          <w:lang w:val="ro-RO"/>
        </w:rPr>
        <w:t xml:space="preserve"> dedicat</w:t>
      </w:r>
      <w:r w:rsidRPr="00F4760D">
        <w:rPr>
          <w:lang w:val="ro-RO"/>
        </w:rPr>
        <w:t xml:space="preserve">, conectat la sistemul de telefonie interioară a obiectivului ori la alte mijloace care asigură </w:t>
      </w:r>
      <w:r w:rsidR="001A2315" w:rsidRPr="00F4760D">
        <w:rPr>
          <w:lang w:val="ro-RO"/>
        </w:rPr>
        <w:t>transmisia</w:t>
      </w:r>
      <w:r w:rsidRPr="00F4760D">
        <w:rPr>
          <w:lang w:val="ro-RO"/>
        </w:rPr>
        <w:t xml:space="preserve"> la </w:t>
      </w:r>
      <w:r w:rsidR="001A2315" w:rsidRPr="00F4760D">
        <w:rPr>
          <w:lang w:val="ro-RO"/>
        </w:rPr>
        <w:t>distanţă.</w:t>
      </w:r>
    </w:p>
    <w:p w:rsidR="00FB30ED" w:rsidRPr="00F4760D" w:rsidRDefault="00FB30ED" w:rsidP="001A2315">
      <w:pPr>
        <w:spacing w:after="0"/>
        <w:ind w:left="0" w:firstLine="567"/>
        <w:rPr>
          <w:lang w:val="ro-RO"/>
        </w:rPr>
      </w:pPr>
      <w:r w:rsidRPr="00F4760D">
        <w:rPr>
          <w:lang w:val="ro-RO"/>
        </w:rPr>
        <w:t>3.9.2.8 Pentru localizarea rapidă, uşoară şi fără ambiguiditate a alarmei şi pentru a lega indicaţia centralei de poziţia oricărui detector sau declanşator manual trebuie fur</w:t>
      </w:r>
      <w:r w:rsidR="002A5CDA" w:rsidRPr="00F4760D">
        <w:rPr>
          <w:lang w:val="ro-RO"/>
        </w:rPr>
        <w:t>nizate cel puţin: zona alarmată sau</w:t>
      </w:r>
      <w:r w:rsidRPr="00F4760D">
        <w:rPr>
          <w:lang w:val="ro-RO"/>
        </w:rPr>
        <w:t xml:space="preserve"> elementul din zonă care a declanşat alarma, un text care să furnizeze informaţii de localizare a alarmei, diagrame de conectare, avertizări optice pentru indicarea la distanţă a stării elementului de detectare sau declanşatorului manual.(vezi 3.9.2.2a).”</w:t>
      </w:r>
    </w:p>
    <w:p w:rsidR="00FB30ED" w:rsidRPr="00F4760D" w:rsidRDefault="00FB30ED" w:rsidP="001A2315">
      <w:pPr>
        <w:tabs>
          <w:tab w:val="left" w:pos="1340"/>
          <w:tab w:val="left" w:pos="1741"/>
          <w:tab w:val="left" w:pos="4688"/>
        </w:tabs>
        <w:spacing w:after="0"/>
        <w:ind w:left="0"/>
        <w:rPr>
          <w:lang w:val="ro-RO"/>
        </w:rPr>
      </w:pPr>
    </w:p>
    <w:p w:rsidR="00FB30ED" w:rsidRPr="00F4760D" w:rsidRDefault="009C187F" w:rsidP="0090586D">
      <w:pPr>
        <w:pStyle w:val="ListParagraph"/>
        <w:numPr>
          <w:ilvl w:val="0"/>
          <w:numId w:val="2"/>
        </w:numPr>
        <w:spacing w:after="0"/>
        <w:ind w:left="924" w:hanging="357"/>
        <w:rPr>
          <w:b/>
          <w:bCs/>
          <w:lang w:val="ro-RO"/>
        </w:rPr>
      </w:pPr>
      <w:r w:rsidRPr="00F4760D">
        <w:rPr>
          <w:b/>
          <w:bCs/>
          <w:lang w:val="ro-RO"/>
        </w:rPr>
        <w:t xml:space="preserve">Partea introductivă a </w:t>
      </w:r>
      <w:r w:rsidR="001A1A93">
        <w:rPr>
          <w:b/>
          <w:bCs/>
          <w:lang w:val="ro-RO"/>
        </w:rPr>
        <w:t>punctului</w:t>
      </w:r>
      <w:r w:rsidR="00FB30ED" w:rsidRPr="00F4760D">
        <w:rPr>
          <w:b/>
          <w:bCs/>
          <w:lang w:val="ro-RO"/>
        </w:rPr>
        <w:t xml:space="preserve"> 5.2.5 se modifică şi va avea următorul cuprins:</w:t>
      </w:r>
    </w:p>
    <w:p w:rsidR="00FB30ED" w:rsidRPr="00F4760D" w:rsidRDefault="00FB30ED" w:rsidP="001A2315">
      <w:pPr>
        <w:spacing w:after="0"/>
        <w:ind w:left="0" w:firstLine="567"/>
        <w:rPr>
          <w:lang w:val="ro-RO"/>
        </w:rPr>
      </w:pPr>
      <w:r w:rsidRPr="00F4760D">
        <w:rPr>
          <w:lang w:val="ro-RO"/>
        </w:rPr>
        <w:t>”5.2.5 Pentru protecţia mecanică, protecţia la foc şi reducerea efectelor perturbaţiilor electromagnetice din cauza apropierii de circuitele electrice de joasă tensiune, circuitele IDSAI se separă prin:”</w:t>
      </w:r>
    </w:p>
    <w:p w:rsidR="00FB30ED" w:rsidRPr="00F4760D" w:rsidRDefault="00FB30ED" w:rsidP="001A2315">
      <w:pPr>
        <w:tabs>
          <w:tab w:val="left" w:pos="1340"/>
          <w:tab w:val="left" w:pos="1741"/>
          <w:tab w:val="left" w:pos="4688"/>
        </w:tabs>
        <w:spacing w:after="0"/>
        <w:ind w:left="0"/>
        <w:rPr>
          <w:lang w:val="ro-RO"/>
        </w:rPr>
      </w:pPr>
    </w:p>
    <w:p w:rsidR="00FB30ED" w:rsidRPr="00F4760D" w:rsidRDefault="001A1A93" w:rsidP="0090586D">
      <w:pPr>
        <w:pStyle w:val="ListParagraph"/>
        <w:numPr>
          <w:ilvl w:val="0"/>
          <w:numId w:val="2"/>
        </w:numPr>
        <w:spacing w:after="0"/>
        <w:ind w:left="924" w:hanging="357"/>
        <w:rPr>
          <w:b/>
          <w:bCs/>
          <w:lang w:val="ro-RO"/>
        </w:rPr>
      </w:pPr>
      <w:r>
        <w:rPr>
          <w:b/>
          <w:bCs/>
          <w:lang w:val="ro-RO"/>
        </w:rPr>
        <w:t xml:space="preserve">La alineatul (2) al punctului </w:t>
      </w:r>
      <w:r w:rsidR="001A2315" w:rsidRPr="00F4760D">
        <w:rPr>
          <w:b/>
          <w:bCs/>
          <w:lang w:val="ro-RO"/>
        </w:rPr>
        <w:t xml:space="preserve">5.3.5, litera c) </w:t>
      </w:r>
      <w:r w:rsidR="00FB30ED" w:rsidRPr="00F4760D">
        <w:rPr>
          <w:b/>
          <w:bCs/>
          <w:lang w:val="ro-RO"/>
        </w:rPr>
        <w:t>se modifică şi va avea următorul cuprins:</w:t>
      </w:r>
    </w:p>
    <w:p w:rsidR="00FB30ED" w:rsidRPr="00F4760D" w:rsidRDefault="00FB30ED" w:rsidP="001A2315">
      <w:pPr>
        <w:spacing w:after="0"/>
        <w:ind w:left="0" w:firstLine="567"/>
        <w:rPr>
          <w:lang w:val="ro-RO"/>
        </w:rPr>
      </w:pPr>
      <w:r w:rsidRPr="00F4760D">
        <w:rPr>
          <w:lang w:val="ro-RO"/>
        </w:rPr>
        <w:t>”c) conectarea dintre ECS şi panourile repetoare pentru semnalizare şi/sau de comandă;”</w:t>
      </w:r>
    </w:p>
    <w:p w:rsidR="005F0F17" w:rsidRPr="00F4760D" w:rsidRDefault="005F0F17" w:rsidP="001A2315">
      <w:pPr>
        <w:tabs>
          <w:tab w:val="left" w:pos="1340"/>
          <w:tab w:val="left" w:pos="1741"/>
          <w:tab w:val="left" w:pos="4688"/>
        </w:tabs>
        <w:spacing w:after="0"/>
        <w:ind w:left="0"/>
        <w:rPr>
          <w:lang w:val="ro-RO"/>
        </w:rPr>
      </w:pPr>
    </w:p>
    <w:p w:rsidR="00FB30ED" w:rsidRPr="00F4760D" w:rsidRDefault="001A1A93" w:rsidP="0090586D">
      <w:pPr>
        <w:pStyle w:val="ListParagraph"/>
        <w:numPr>
          <w:ilvl w:val="0"/>
          <w:numId w:val="2"/>
        </w:numPr>
        <w:spacing w:after="0"/>
        <w:ind w:left="924" w:hanging="357"/>
        <w:rPr>
          <w:b/>
          <w:bCs/>
          <w:lang w:val="ro-RO"/>
        </w:rPr>
      </w:pPr>
      <w:r>
        <w:rPr>
          <w:b/>
          <w:bCs/>
          <w:lang w:val="ro-RO"/>
        </w:rPr>
        <w:t>Punctu</w:t>
      </w:r>
      <w:r w:rsidR="00543CA8" w:rsidRPr="00F4760D">
        <w:rPr>
          <w:b/>
          <w:bCs/>
          <w:lang w:val="ro-RO"/>
        </w:rPr>
        <w:t>l</w:t>
      </w:r>
      <w:r w:rsidR="00FB30ED" w:rsidRPr="00F4760D">
        <w:rPr>
          <w:b/>
          <w:bCs/>
          <w:lang w:val="ro-RO"/>
        </w:rPr>
        <w:t xml:space="preserve"> 5.3.6 se modifică ş</w:t>
      </w:r>
      <w:r w:rsidR="00543CA8" w:rsidRPr="00F4760D">
        <w:rPr>
          <w:b/>
          <w:bCs/>
          <w:lang w:val="ro-RO"/>
        </w:rPr>
        <w:t>i va</w:t>
      </w:r>
      <w:r w:rsidR="00FB30ED" w:rsidRPr="00F4760D">
        <w:rPr>
          <w:b/>
          <w:bCs/>
          <w:lang w:val="ro-RO"/>
        </w:rPr>
        <w:t xml:space="preserve"> avea următorul cuprins:</w:t>
      </w:r>
    </w:p>
    <w:p w:rsidR="00FB30ED" w:rsidRPr="00F4760D" w:rsidRDefault="00FB30ED" w:rsidP="001A2315">
      <w:pPr>
        <w:pStyle w:val="BodyTextIndent"/>
        <w:spacing w:after="0"/>
        <w:ind w:left="0" w:firstLine="567"/>
        <w:rPr>
          <w:lang w:val="ro-RO"/>
        </w:rPr>
      </w:pPr>
      <w:r w:rsidRPr="00F4760D">
        <w:rPr>
          <w:lang w:val="ro-RO"/>
        </w:rPr>
        <w:t>”5.3.6 În clădirile înalte, foarte înalte şi spitale sistemele de cabluri între ECS şi dispozitivele de alarmare trebuie să reziste la foc cel puţin 90 minute pentru a asigura continuitatea în funcţionar</w:t>
      </w:r>
      <w:r w:rsidR="001A2315" w:rsidRPr="00F4760D">
        <w:rPr>
          <w:lang w:val="ro-RO"/>
        </w:rPr>
        <w:t>e şi/sau transmisia semnalului.</w:t>
      </w:r>
      <w:r w:rsidR="00543CA8" w:rsidRPr="00F4760D">
        <w:rPr>
          <w:lang w:val="ro-RO"/>
        </w:rPr>
        <w:t>”</w:t>
      </w:r>
    </w:p>
    <w:p w:rsidR="00543CA8" w:rsidRPr="00F4760D" w:rsidRDefault="00543CA8" w:rsidP="00543CA8">
      <w:pPr>
        <w:pStyle w:val="BodyTextIndent"/>
        <w:spacing w:after="0"/>
        <w:ind w:left="0"/>
        <w:rPr>
          <w:lang w:val="ro-RO"/>
        </w:rPr>
      </w:pPr>
    </w:p>
    <w:p w:rsidR="00543CA8" w:rsidRPr="00F4760D" w:rsidRDefault="001A1A93" w:rsidP="00543CA8">
      <w:pPr>
        <w:pStyle w:val="ListParagraph"/>
        <w:numPr>
          <w:ilvl w:val="0"/>
          <w:numId w:val="2"/>
        </w:numPr>
        <w:spacing w:after="0"/>
        <w:ind w:left="924" w:hanging="357"/>
        <w:rPr>
          <w:b/>
          <w:bCs/>
          <w:lang w:val="ro-RO"/>
        </w:rPr>
      </w:pPr>
      <w:r>
        <w:rPr>
          <w:b/>
          <w:bCs/>
          <w:lang w:val="ro-RO"/>
        </w:rPr>
        <w:t>Punctul</w:t>
      </w:r>
      <w:r w:rsidR="00543CA8" w:rsidRPr="00F4760D">
        <w:rPr>
          <w:b/>
          <w:bCs/>
          <w:lang w:val="ro-RO"/>
        </w:rPr>
        <w:t xml:space="preserve"> 5.8.1 se modifică şi va avea următorul cuprins:</w:t>
      </w:r>
    </w:p>
    <w:p w:rsidR="00AC427C" w:rsidRPr="00F4760D" w:rsidRDefault="00543CA8" w:rsidP="008B3976">
      <w:pPr>
        <w:pStyle w:val="BodyTextIndent"/>
        <w:spacing w:after="0"/>
        <w:ind w:left="0" w:firstLine="567"/>
        <w:rPr>
          <w:lang w:val="ro-RO"/>
        </w:rPr>
      </w:pPr>
      <w:r w:rsidRPr="00F4760D">
        <w:rPr>
          <w:lang w:val="ro-RO"/>
        </w:rPr>
        <w:t>„</w:t>
      </w:r>
      <w:r w:rsidR="00FB30ED" w:rsidRPr="00F4760D">
        <w:rPr>
          <w:lang w:val="ro-RO"/>
        </w:rPr>
        <w:t>5.8.1 În cazul în care se foloseşte un sistem adresabil de detectare, trebuie să se identifice cu precizie detectorul automat sau manual care a declanşat alarma de incendiu. Identificarea detectorului se va face la ECS prin intermediul afişajului.”</w:t>
      </w:r>
    </w:p>
    <w:p w:rsidR="00841606" w:rsidRPr="00F4760D" w:rsidRDefault="00841606" w:rsidP="00AC427C">
      <w:pPr>
        <w:pStyle w:val="ListParagraph"/>
        <w:suppressAutoHyphens/>
        <w:spacing w:after="0"/>
        <w:ind w:left="0"/>
        <w:rPr>
          <w:b/>
          <w:bCs/>
          <w:lang w:val="ro-RO"/>
        </w:rPr>
      </w:pPr>
    </w:p>
    <w:p w:rsidR="00AC427C" w:rsidRPr="00F4760D" w:rsidRDefault="00AC427C" w:rsidP="00AC427C">
      <w:pPr>
        <w:pStyle w:val="ListParagraph"/>
        <w:suppressAutoHyphens/>
        <w:spacing w:after="0"/>
        <w:ind w:left="0" w:firstLine="720"/>
        <w:rPr>
          <w:lang w:val="ro-RO"/>
        </w:rPr>
      </w:pPr>
      <w:r w:rsidRPr="00F4760D">
        <w:rPr>
          <w:b/>
          <w:bCs/>
          <w:lang w:val="ro-RO"/>
        </w:rPr>
        <w:t xml:space="preserve">Art. II. - </w:t>
      </w:r>
      <w:r w:rsidRPr="00F4760D">
        <w:rPr>
          <w:bCs/>
          <w:lang w:val="ro-RO"/>
        </w:rPr>
        <w:t xml:space="preserve">În tot cuprinsul reglementării tehnice </w:t>
      </w:r>
      <w:r w:rsidRPr="00F4760D">
        <w:rPr>
          <w:lang w:val="ro-RO"/>
        </w:rPr>
        <w:t>sintagma “</w:t>
      </w:r>
      <w:r w:rsidRPr="00F4760D">
        <w:rPr>
          <w:rStyle w:val="Heading1Char"/>
          <w:rFonts w:ascii="Trebuchet MS" w:hAnsi="Trebuchet MS" w:cs="Times New Roman"/>
          <w:b w:val="0"/>
          <w:sz w:val="22"/>
          <w:szCs w:val="22"/>
          <w:lang w:val="ro-RO"/>
        </w:rPr>
        <w:t xml:space="preserve">instalaţii </w:t>
      </w:r>
      <w:r w:rsidRPr="00F4760D">
        <w:rPr>
          <w:lang w:val="ro-RO"/>
        </w:rPr>
        <w:t>de detectare, semnalizare şi avertizare” se înlocuieşte cu</w:t>
      </w:r>
      <w:r w:rsidR="001A2315" w:rsidRPr="00F4760D">
        <w:rPr>
          <w:lang w:val="ro-RO"/>
        </w:rPr>
        <w:t xml:space="preserve"> sintagma</w:t>
      </w:r>
      <w:r w:rsidRPr="00F4760D">
        <w:rPr>
          <w:lang w:val="ro-RO"/>
        </w:rPr>
        <w:t xml:space="preserve"> “</w:t>
      </w:r>
      <w:r w:rsidRPr="00F4760D">
        <w:rPr>
          <w:rStyle w:val="Heading1Char"/>
          <w:rFonts w:ascii="Trebuchet MS" w:hAnsi="Trebuchet MS" w:cs="Times New Roman"/>
          <w:b w:val="0"/>
          <w:sz w:val="22"/>
          <w:szCs w:val="22"/>
          <w:lang w:val="ro-RO"/>
        </w:rPr>
        <w:t xml:space="preserve">instalaţii </w:t>
      </w:r>
      <w:r w:rsidRPr="00F4760D">
        <w:rPr>
          <w:lang w:val="ro-RO"/>
        </w:rPr>
        <w:t>de detectare, semnalizare şi alarmare”.</w:t>
      </w:r>
    </w:p>
    <w:p w:rsidR="001D1B18" w:rsidRPr="00F4760D" w:rsidRDefault="001D1B18" w:rsidP="00AC427C">
      <w:pPr>
        <w:spacing w:after="0"/>
        <w:ind w:left="0" w:firstLine="567"/>
        <w:rPr>
          <w:b/>
          <w:lang w:val="ro-RO"/>
        </w:rPr>
      </w:pPr>
    </w:p>
    <w:p w:rsidR="00AC6132" w:rsidRPr="00F4760D" w:rsidRDefault="00AC6132" w:rsidP="00AC6132">
      <w:pPr>
        <w:spacing w:line="240" w:lineRule="auto"/>
        <w:ind w:left="0" w:firstLine="567"/>
        <w:rPr>
          <w:lang w:val="ro-RO"/>
        </w:rPr>
      </w:pPr>
      <w:r w:rsidRPr="00F4760D">
        <w:rPr>
          <w:b/>
          <w:lang w:val="ro-RO"/>
        </w:rPr>
        <w:t xml:space="preserve">Art. III. – </w:t>
      </w:r>
      <w:r w:rsidRPr="00F4760D">
        <w:rPr>
          <w:lang w:val="ro-RO"/>
        </w:rPr>
        <w:t>Contractele pentru serviciile de proiectare încheiate până la data intrării în vigoare a prezentului ordin se finalizează cu respectarea reglementărilor tehnice în vigoare la data semnării acestora.</w:t>
      </w:r>
    </w:p>
    <w:p w:rsidR="00AC6132" w:rsidRPr="00F4760D" w:rsidRDefault="00AC6132" w:rsidP="00AC427C">
      <w:pPr>
        <w:spacing w:after="0"/>
        <w:ind w:left="0" w:firstLine="567"/>
        <w:rPr>
          <w:b/>
          <w:lang w:val="ro-RO"/>
        </w:rPr>
      </w:pPr>
    </w:p>
    <w:p w:rsidR="00722257" w:rsidRPr="00F4760D" w:rsidRDefault="008A1EF2" w:rsidP="00AC427C">
      <w:pPr>
        <w:spacing w:after="0"/>
        <w:ind w:left="0" w:firstLine="567"/>
        <w:rPr>
          <w:lang w:val="ro-RO"/>
        </w:rPr>
      </w:pPr>
      <w:r w:rsidRPr="00F4760D">
        <w:rPr>
          <w:b/>
          <w:lang w:val="ro-RO"/>
        </w:rPr>
        <w:t>Art.</w:t>
      </w:r>
      <w:r w:rsidR="00FE3BE6" w:rsidRPr="00F4760D">
        <w:rPr>
          <w:b/>
          <w:lang w:val="ro-RO"/>
        </w:rPr>
        <w:t xml:space="preserve"> </w:t>
      </w:r>
      <w:r w:rsidR="00296AB8" w:rsidRPr="00F4760D">
        <w:rPr>
          <w:b/>
          <w:lang w:val="ro-RO"/>
        </w:rPr>
        <w:t>I</w:t>
      </w:r>
      <w:r w:rsidR="00AC6132" w:rsidRPr="00F4760D">
        <w:rPr>
          <w:b/>
          <w:lang w:val="ro-RO"/>
        </w:rPr>
        <w:t>V</w:t>
      </w:r>
      <w:r w:rsidR="00722257" w:rsidRPr="00F4760D">
        <w:rPr>
          <w:b/>
          <w:lang w:val="ro-RO"/>
        </w:rPr>
        <w:t xml:space="preserve">. </w:t>
      </w:r>
      <w:r w:rsidR="00DE7252" w:rsidRPr="00F4760D">
        <w:rPr>
          <w:b/>
          <w:lang w:val="ro-RO"/>
        </w:rPr>
        <w:t>–</w:t>
      </w:r>
      <w:r w:rsidR="00722257" w:rsidRPr="00F4760D">
        <w:rPr>
          <w:lang w:val="ro-RO"/>
        </w:rPr>
        <w:t xml:space="preserve"> Prezentul ordin se publică în Monitorul Oficial al României, Partea I.</w:t>
      </w:r>
    </w:p>
    <w:p w:rsidR="00CF42E9" w:rsidRPr="00F4760D" w:rsidRDefault="00CF42E9" w:rsidP="00AC427C">
      <w:pPr>
        <w:spacing w:after="0"/>
        <w:ind w:left="0"/>
        <w:rPr>
          <w:lang w:val="ro-RO"/>
        </w:rPr>
      </w:pPr>
    </w:p>
    <w:p w:rsidR="00F23A5F" w:rsidRPr="00F4760D" w:rsidRDefault="00F23A5F" w:rsidP="00CF42E9">
      <w:pPr>
        <w:spacing w:after="0" w:line="360" w:lineRule="auto"/>
        <w:ind w:left="0"/>
        <w:jc w:val="center"/>
        <w:rPr>
          <w:b/>
          <w:lang w:val="ro-RO"/>
        </w:rPr>
      </w:pPr>
      <w:r w:rsidRPr="00F4760D">
        <w:rPr>
          <w:b/>
          <w:lang w:val="ro-RO"/>
        </w:rPr>
        <w:t>VICEPRIM-MINISTRU</w:t>
      </w:r>
    </w:p>
    <w:p w:rsidR="00F23A5F" w:rsidRPr="00F4760D" w:rsidRDefault="00E8084B" w:rsidP="00CF42E9">
      <w:pPr>
        <w:spacing w:after="0" w:line="360" w:lineRule="auto"/>
        <w:ind w:left="0"/>
        <w:jc w:val="center"/>
        <w:rPr>
          <w:b/>
          <w:lang w:val="ro-RO"/>
        </w:rPr>
      </w:pPr>
      <w:r w:rsidRPr="00F4760D">
        <w:rPr>
          <w:b/>
          <w:lang w:val="ro-RO"/>
        </w:rPr>
        <w:t xml:space="preserve">MINISTRUL DEZVOLTĂRII REGIONALE, </w:t>
      </w:r>
      <w:r w:rsidR="00F23A5F" w:rsidRPr="00F4760D">
        <w:rPr>
          <w:b/>
          <w:lang w:val="ro-RO"/>
        </w:rPr>
        <w:t>ADMINISTRAŢIEI PUBLICE</w:t>
      </w:r>
    </w:p>
    <w:p w:rsidR="00E8084B" w:rsidRPr="00F4760D" w:rsidRDefault="00E8084B" w:rsidP="00CF42E9">
      <w:pPr>
        <w:spacing w:after="0" w:line="360" w:lineRule="auto"/>
        <w:ind w:left="0"/>
        <w:jc w:val="center"/>
        <w:rPr>
          <w:b/>
          <w:lang w:val="ro-RO"/>
        </w:rPr>
      </w:pPr>
      <w:r w:rsidRPr="00F4760D">
        <w:rPr>
          <w:b/>
          <w:lang w:val="ro-RO"/>
        </w:rPr>
        <w:t>ŞI FONDURILOR EUROPENE</w:t>
      </w:r>
    </w:p>
    <w:p w:rsidR="006A090F" w:rsidRPr="00F4760D" w:rsidRDefault="006A090F" w:rsidP="00CF42E9">
      <w:pPr>
        <w:spacing w:after="0" w:line="360" w:lineRule="auto"/>
        <w:ind w:left="0"/>
        <w:jc w:val="center"/>
        <w:rPr>
          <w:b/>
          <w:lang w:val="ro-RO"/>
        </w:rPr>
      </w:pPr>
    </w:p>
    <w:p w:rsidR="003A3E1F" w:rsidRPr="00F4760D" w:rsidRDefault="00E8084B" w:rsidP="00841606">
      <w:pPr>
        <w:spacing w:after="0" w:line="360" w:lineRule="auto"/>
        <w:ind w:left="0"/>
        <w:jc w:val="center"/>
        <w:rPr>
          <w:b/>
          <w:lang w:val="ro-RO"/>
        </w:rPr>
      </w:pPr>
      <w:r w:rsidRPr="00F4760D">
        <w:rPr>
          <w:b/>
          <w:lang w:val="ro-RO"/>
        </w:rPr>
        <w:t>PAUL STĂNESCU</w:t>
      </w:r>
    </w:p>
    <w:p w:rsidR="00AC6132" w:rsidRPr="00F4760D" w:rsidRDefault="00AC6132" w:rsidP="00841606">
      <w:pPr>
        <w:spacing w:after="0" w:line="360" w:lineRule="auto"/>
        <w:ind w:left="0"/>
        <w:jc w:val="center"/>
        <w:rPr>
          <w:b/>
          <w:lang w:val="ro-RO"/>
        </w:rPr>
      </w:pPr>
    </w:p>
    <w:p w:rsidR="00AC6132" w:rsidRPr="00F4760D" w:rsidRDefault="00AC6132" w:rsidP="00841606">
      <w:pPr>
        <w:spacing w:after="0" w:line="360" w:lineRule="auto"/>
        <w:ind w:left="0"/>
        <w:jc w:val="center"/>
        <w:rPr>
          <w:lang w:val="ro-RO"/>
        </w:rPr>
      </w:pPr>
    </w:p>
    <w:sectPr w:rsidR="00AC6132" w:rsidRPr="00F4760D" w:rsidSect="004843DE">
      <w:headerReference w:type="default" r:id="rId8"/>
      <w:footerReference w:type="default" r:id="rId9"/>
      <w:headerReference w:type="first" r:id="rId10"/>
      <w:footerReference w:type="first" r:id="rId11"/>
      <w:pgSz w:w="11907" w:h="16840" w:code="9"/>
      <w:pgMar w:top="851" w:right="851" w:bottom="851" w:left="1134" w:header="14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DF9" w:rsidRDefault="005D2DF9" w:rsidP="00CD5B3B">
      <w:pPr>
        <w:rPr>
          <w:rFonts w:cs="Times New Roman"/>
        </w:rPr>
      </w:pPr>
      <w:r>
        <w:rPr>
          <w:rFonts w:cs="Times New Roman"/>
        </w:rPr>
        <w:separator/>
      </w:r>
    </w:p>
  </w:endnote>
  <w:endnote w:type="continuationSeparator" w:id="0">
    <w:p w:rsidR="005D2DF9" w:rsidRDefault="005D2DF9"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orn W">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B4" w:rsidRPr="00F71807" w:rsidRDefault="009F66B4" w:rsidP="003414E0">
    <w:pPr>
      <w:pStyle w:val="Footer"/>
      <w:spacing w:after="0"/>
      <w:ind w:left="0"/>
      <w:rPr>
        <w:rFonts w:cs="Times New Roman"/>
        <w:b/>
        <w:bCs/>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B4" w:rsidRPr="00100F36" w:rsidRDefault="009F66B4" w:rsidP="003414E0">
    <w:pPr>
      <w:pStyle w:val="Footer"/>
      <w:tabs>
        <w:tab w:val="clear" w:pos="4320"/>
        <w:tab w:val="clear" w:pos="8640"/>
        <w:tab w:val="left" w:pos="7710"/>
      </w:tabs>
      <w:spacing w:after="0"/>
      <w:ind w:left="0"/>
      <w:rPr>
        <w:rFonts w:cs="Times New Roman"/>
        <w:b/>
        <w:bCs/>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DF9" w:rsidRDefault="005D2DF9" w:rsidP="00CD5B3B">
      <w:pPr>
        <w:rPr>
          <w:rFonts w:cs="Times New Roman"/>
        </w:rPr>
      </w:pPr>
      <w:r>
        <w:rPr>
          <w:rFonts w:cs="Times New Roman"/>
        </w:rPr>
        <w:separator/>
      </w:r>
    </w:p>
  </w:footnote>
  <w:footnote w:type="continuationSeparator" w:id="0">
    <w:p w:rsidR="005D2DF9" w:rsidRDefault="005D2DF9"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B4" w:rsidRDefault="009F66B4" w:rsidP="0068004B">
    <w:pPr>
      <w:pStyle w:val="Header"/>
      <w:spacing w:after="0" w:line="240" w:lineRule="auto"/>
      <w:ind w:left="0"/>
      <w:jc w:val="right"/>
      <w:rPr>
        <w:rFonts w:cs="Times New Roman"/>
      </w:rPr>
    </w:pPr>
  </w:p>
  <w:p w:rsidR="00841606" w:rsidRDefault="00841606" w:rsidP="0068004B">
    <w:pPr>
      <w:pStyle w:val="Header"/>
      <w:spacing w:after="0" w:line="240" w:lineRule="auto"/>
      <w:ind w:left="0"/>
      <w:jc w:val="right"/>
      <w:rPr>
        <w:rFonts w:cs="Times New Roman"/>
      </w:rPr>
    </w:pPr>
  </w:p>
  <w:p w:rsidR="00CF42E9" w:rsidRPr="00CD5B3B" w:rsidRDefault="00CF42E9" w:rsidP="0068004B">
    <w:pPr>
      <w:pStyle w:val="Header"/>
      <w:spacing w:after="0" w:line="240" w:lineRule="auto"/>
      <w:ind w:left="0"/>
      <w:jc w:val="right"/>
      <w:rPr>
        <w:rFonts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2" w:type="dxa"/>
      <w:tblCellMar>
        <w:left w:w="0" w:type="dxa"/>
        <w:right w:w="0" w:type="dxa"/>
      </w:tblCellMar>
      <w:tblLook w:val="00A0" w:firstRow="1" w:lastRow="0" w:firstColumn="1" w:lastColumn="0" w:noHBand="0" w:noVBand="0"/>
    </w:tblPr>
    <w:tblGrid>
      <w:gridCol w:w="10110"/>
      <w:gridCol w:w="663"/>
    </w:tblGrid>
    <w:tr w:rsidR="009F66B4">
      <w:tc>
        <w:tcPr>
          <w:tcW w:w="6994" w:type="dxa"/>
        </w:tcPr>
        <w:p w:rsidR="009F66B4" w:rsidRPr="00CD5B3B" w:rsidRDefault="004843DE" w:rsidP="00C20EF1">
          <w:pPr>
            <w:pStyle w:val="MediumGrid21"/>
            <w:rPr>
              <w:rFonts w:cs="Times New Roman"/>
            </w:rPr>
          </w:pPr>
          <w:r w:rsidRPr="00971557">
            <w:rPr>
              <w:noProof/>
            </w:rPr>
            <w:drawing>
              <wp:inline distT="0" distB="0" distL="0" distR="0">
                <wp:extent cx="6416168" cy="798830"/>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348" cy="812672"/>
                        </a:xfrm>
                        <a:prstGeom prst="rect">
                          <a:avLst/>
                        </a:prstGeom>
                        <a:noFill/>
                        <a:ln>
                          <a:noFill/>
                        </a:ln>
                      </pic:spPr>
                    </pic:pic>
                  </a:graphicData>
                </a:graphic>
              </wp:inline>
            </w:drawing>
          </w:r>
        </w:p>
      </w:tc>
      <w:tc>
        <w:tcPr>
          <w:tcW w:w="3779" w:type="dxa"/>
          <w:vAlign w:val="center"/>
        </w:tcPr>
        <w:p w:rsidR="009F66B4" w:rsidRDefault="009F66B4" w:rsidP="00E562FC">
          <w:pPr>
            <w:pStyle w:val="MediumGrid21"/>
            <w:jc w:val="right"/>
            <w:rPr>
              <w:rFonts w:cs="Times New Roman"/>
            </w:rPr>
          </w:pPr>
        </w:p>
        <w:p w:rsidR="009F66B4" w:rsidRDefault="009F66B4" w:rsidP="00E562FC">
          <w:pPr>
            <w:pStyle w:val="MediumGrid21"/>
            <w:jc w:val="right"/>
            <w:rPr>
              <w:rFonts w:cs="Times New Roman"/>
            </w:rPr>
          </w:pPr>
        </w:p>
        <w:p w:rsidR="009F66B4" w:rsidRDefault="009F66B4" w:rsidP="00E562FC">
          <w:pPr>
            <w:pStyle w:val="MediumGrid21"/>
            <w:jc w:val="right"/>
            <w:rPr>
              <w:rFonts w:cs="Times New Roman"/>
            </w:rPr>
          </w:pPr>
        </w:p>
      </w:tc>
    </w:tr>
  </w:tbl>
  <w:p w:rsidR="009F66B4" w:rsidRPr="00151298" w:rsidRDefault="00E215EE" w:rsidP="00682D72">
    <w:pPr>
      <w:pStyle w:val="Footer"/>
      <w:tabs>
        <w:tab w:val="clear" w:pos="4320"/>
        <w:tab w:val="clear" w:pos="8640"/>
      </w:tabs>
      <w:spacing w:after="0" w:line="240" w:lineRule="auto"/>
      <w:jc w:val="right"/>
      <w:rPr>
        <w:rFonts w:cs="Times New Roman"/>
      </w:rPr>
    </w:pPr>
    <w:r>
      <w:rPr>
        <w:noProof/>
      </w:rPr>
      <mc:AlternateContent>
        <mc:Choice Requires="wps">
          <w:drawing>
            <wp:anchor distT="0" distB="0" distL="114300" distR="114300" simplePos="0" relativeHeight="251660288" behindDoc="0" locked="0" layoutInCell="1" allowOverlap="1" wp14:anchorId="047ADCB0" wp14:editId="7870F6DE">
              <wp:simplePos x="0" y="0"/>
              <wp:positionH relativeFrom="column">
                <wp:posOffset>712320</wp:posOffset>
              </wp:positionH>
              <wp:positionV relativeFrom="paragraph">
                <wp:posOffset>80591</wp:posOffset>
              </wp:positionV>
              <wp:extent cx="5701030" cy="0"/>
              <wp:effectExtent l="13970" t="15240" r="9525" b="13335"/>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1B49"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6.35pt" to="5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" strokecolor="#17365d"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D663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36"/>
    <w:multiLevelType w:val="multilevel"/>
    <w:tmpl w:val="A4B2D986"/>
    <w:name w:val="WW8Num54"/>
    <w:lvl w:ilvl="0">
      <w:start w:val="1"/>
      <w:numFmt w:val="lowerLetter"/>
      <w:lvlText w:val="%1)"/>
      <w:lvlJc w:val="left"/>
      <w:pPr>
        <w:tabs>
          <w:tab w:val="num" w:pos="786"/>
        </w:tabs>
        <w:ind w:left="786" w:hanging="360"/>
      </w:pPr>
      <w:rPr>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C6B03E6"/>
    <w:multiLevelType w:val="multilevel"/>
    <w:tmpl w:val="057CC2EE"/>
    <w:lvl w:ilvl="0">
      <w:start w:val="1"/>
      <w:numFmt w:val="decimal"/>
      <w:lvlText w:val="%1."/>
      <w:lvlJc w:val="left"/>
      <w:pPr>
        <w:tabs>
          <w:tab w:val="num" w:pos="855"/>
        </w:tabs>
        <w:ind w:left="855" w:hanging="855"/>
      </w:pPr>
      <w:rPr>
        <w:rFonts w:hint="default"/>
        <w:b/>
        <w:i/>
      </w:rPr>
    </w:lvl>
    <w:lvl w:ilvl="1">
      <w:start w:val="59"/>
      <w:numFmt w:val="decimal"/>
      <w:lvlText w:val="%1.%2."/>
      <w:lvlJc w:val="left"/>
      <w:pPr>
        <w:tabs>
          <w:tab w:val="num" w:pos="855"/>
        </w:tabs>
        <w:ind w:left="855" w:hanging="855"/>
      </w:pPr>
      <w:rPr>
        <w:rFonts w:hint="default"/>
        <w:b/>
        <w:i/>
      </w:rPr>
    </w:lvl>
    <w:lvl w:ilvl="2">
      <w:start w:val="1"/>
      <w:numFmt w:val="decimal"/>
      <w:lvlText w:val="%1.%2.%3."/>
      <w:lvlJc w:val="left"/>
      <w:pPr>
        <w:tabs>
          <w:tab w:val="num" w:pos="855"/>
        </w:tabs>
        <w:ind w:left="855" w:hanging="855"/>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15:restartNumberingAfterBreak="0">
    <w:nsid w:val="149F3E64"/>
    <w:multiLevelType w:val="hybridMultilevel"/>
    <w:tmpl w:val="B1F4779A"/>
    <w:lvl w:ilvl="0" w:tplc="3516E422">
      <w:start w:val="1"/>
      <w:numFmt w:val="decimal"/>
      <w:lvlText w:val="%1."/>
      <w:lvlJc w:val="left"/>
      <w:pPr>
        <w:tabs>
          <w:tab w:val="num" w:pos="1069"/>
        </w:tabs>
        <w:ind w:left="1069" w:hanging="360"/>
      </w:pPr>
      <w:rPr>
        <w:rFonts w:hint="default"/>
        <w:b/>
        <w:strike w:val="0"/>
        <w:color w:val="auto"/>
        <w:sz w:val="28"/>
        <w:szCs w:val="28"/>
      </w:rPr>
    </w:lvl>
    <w:lvl w:ilvl="1" w:tplc="BDDA0046">
      <w:start w:val="1"/>
      <w:numFmt w:val="lowerLetter"/>
      <w:lvlText w:val="%2)"/>
      <w:lvlJc w:val="left"/>
      <w:pPr>
        <w:tabs>
          <w:tab w:val="num" w:pos="1353"/>
        </w:tabs>
        <w:ind w:left="1353" w:hanging="360"/>
      </w:pPr>
      <w:rPr>
        <w:rFonts w:hint="default"/>
        <w:color w:val="auto"/>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59F1D68"/>
    <w:multiLevelType w:val="hybridMultilevel"/>
    <w:tmpl w:val="949E1FA6"/>
    <w:lvl w:ilvl="0" w:tplc="0A68BBB4">
      <w:start w:val="1"/>
      <w:numFmt w:val="decimal"/>
      <w:lvlText w:val="%1."/>
      <w:lvlJc w:val="left"/>
      <w:pPr>
        <w:ind w:left="1070"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18D26BEC"/>
    <w:multiLevelType w:val="hybridMultilevel"/>
    <w:tmpl w:val="FACCE85A"/>
    <w:lvl w:ilvl="0" w:tplc="38E0497A">
      <w:start w:val="6"/>
      <w:numFmt w:val="bullet"/>
      <w:lvlText w:val="-"/>
      <w:lvlJc w:val="left"/>
      <w:pPr>
        <w:tabs>
          <w:tab w:val="num" w:pos="360"/>
        </w:tabs>
        <w:ind w:left="170" w:hanging="17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D0AB0"/>
    <w:multiLevelType w:val="hybridMultilevel"/>
    <w:tmpl w:val="7CB6DC0C"/>
    <w:lvl w:ilvl="0" w:tplc="33EAE326">
      <w:start w:val="1"/>
      <w:numFmt w:val="bullet"/>
      <w:lvlText w:val=""/>
      <w:lvlJc w:val="left"/>
      <w:pPr>
        <w:tabs>
          <w:tab w:val="num" w:pos="1497"/>
        </w:tabs>
        <w:ind w:left="1497" w:hanging="363"/>
      </w:pPr>
      <w:rPr>
        <w:rFonts w:ascii="Wingdings" w:hAnsi="Wingdings" w:hint="default"/>
      </w:rPr>
    </w:lvl>
    <w:lvl w:ilvl="1" w:tplc="38E0497A">
      <w:start w:val="6"/>
      <w:numFmt w:val="bullet"/>
      <w:lvlText w:val="-"/>
      <w:lvlJc w:val="left"/>
      <w:pPr>
        <w:tabs>
          <w:tab w:val="num" w:pos="360"/>
        </w:tabs>
        <w:ind w:left="170" w:hanging="17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93BFF"/>
    <w:multiLevelType w:val="hybridMultilevel"/>
    <w:tmpl w:val="BCDCC6A6"/>
    <w:lvl w:ilvl="0" w:tplc="38E0497A">
      <w:start w:val="6"/>
      <w:numFmt w:val="bullet"/>
      <w:lvlText w:val="-"/>
      <w:lvlJc w:val="left"/>
      <w:pPr>
        <w:tabs>
          <w:tab w:val="num" w:pos="360"/>
        </w:tabs>
        <w:ind w:left="170" w:hanging="17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753F6"/>
    <w:multiLevelType w:val="hybridMultilevel"/>
    <w:tmpl w:val="9D5A0F1A"/>
    <w:lvl w:ilvl="0" w:tplc="6018F6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6459E"/>
    <w:multiLevelType w:val="hybridMultilevel"/>
    <w:tmpl w:val="949E1FA6"/>
    <w:lvl w:ilvl="0" w:tplc="0A68BBB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3D1C18C3"/>
    <w:multiLevelType w:val="hybridMultilevel"/>
    <w:tmpl w:val="71E24E1C"/>
    <w:lvl w:ilvl="0" w:tplc="38E0497A">
      <w:start w:val="6"/>
      <w:numFmt w:val="bullet"/>
      <w:lvlText w:val="-"/>
      <w:lvlJc w:val="left"/>
      <w:pPr>
        <w:tabs>
          <w:tab w:val="num" w:pos="360"/>
        </w:tabs>
        <w:ind w:left="170" w:hanging="17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E39B7"/>
    <w:multiLevelType w:val="hybridMultilevel"/>
    <w:tmpl w:val="37E260E4"/>
    <w:lvl w:ilvl="0" w:tplc="57444A1A">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508B1D81"/>
    <w:multiLevelType w:val="hybridMultilevel"/>
    <w:tmpl w:val="3EDCE4A6"/>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51F90BDF"/>
    <w:multiLevelType w:val="hybridMultilevel"/>
    <w:tmpl w:val="3DC4E1E0"/>
    <w:lvl w:ilvl="0" w:tplc="737A8730">
      <w:start w:val="1"/>
      <w:numFmt w:val="lowerLetter"/>
      <w:lvlText w:val="%1)"/>
      <w:lvlJc w:val="left"/>
      <w:pPr>
        <w:tabs>
          <w:tab w:val="num" w:pos="1440"/>
        </w:tabs>
        <w:ind w:left="144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58A214F5"/>
    <w:multiLevelType w:val="hybridMultilevel"/>
    <w:tmpl w:val="5FD6029E"/>
    <w:lvl w:ilvl="0" w:tplc="6018F61C">
      <w:start w:val="1"/>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7" w15:restartNumberingAfterBreak="0">
    <w:nsid w:val="59A43138"/>
    <w:multiLevelType w:val="hybridMultilevel"/>
    <w:tmpl w:val="FAA65546"/>
    <w:lvl w:ilvl="0" w:tplc="811EEE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315F77"/>
    <w:multiLevelType w:val="hybridMultilevel"/>
    <w:tmpl w:val="44281F64"/>
    <w:lvl w:ilvl="0" w:tplc="19868E14">
      <w:start w:val="1"/>
      <w:numFmt w:val="lowerLetter"/>
      <w:lvlText w:val="%1)"/>
      <w:lvlJc w:val="left"/>
      <w:pPr>
        <w:tabs>
          <w:tab w:val="num" w:pos="720"/>
        </w:tabs>
        <w:ind w:left="720" w:hanging="360"/>
      </w:pPr>
      <w:rPr>
        <w:rFonts w:hint="default"/>
      </w:rPr>
    </w:lvl>
    <w:lvl w:ilvl="1" w:tplc="97B697B2">
      <w:start w:val="1"/>
      <w:numFmt w:val="lowerLetter"/>
      <w:lvlText w:val="%2)"/>
      <w:lvlJc w:val="left"/>
      <w:pPr>
        <w:tabs>
          <w:tab w:val="num" w:pos="1582"/>
        </w:tabs>
        <w:ind w:left="1582" w:hanging="360"/>
      </w:pPr>
      <w:rPr>
        <w:rFonts w:hint="default"/>
      </w:rPr>
    </w:lvl>
    <w:lvl w:ilvl="2" w:tplc="04180005" w:tentative="1">
      <w:start w:val="1"/>
      <w:numFmt w:val="bullet"/>
      <w:lvlText w:val=""/>
      <w:lvlJc w:val="left"/>
      <w:pPr>
        <w:tabs>
          <w:tab w:val="num" w:pos="2302"/>
        </w:tabs>
        <w:ind w:left="2302" w:hanging="360"/>
      </w:pPr>
      <w:rPr>
        <w:rFonts w:ascii="Wingdings" w:hAnsi="Wingdings" w:hint="default"/>
      </w:rPr>
    </w:lvl>
    <w:lvl w:ilvl="3" w:tplc="04180001" w:tentative="1">
      <w:start w:val="1"/>
      <w:numFmt w:val="bullet"/>
      <w:lvlText w:val=""/>
      <w:lvlJc w:val="left"/>
      <w:pPr>
        <w:tabs>
          <w:tab w:val="num" w:pos="3022"/>
        </w:tabs>
        <w:ind w:left="3022" w:hanging="360"/>
      </w:pPr>
      <w:rPr>
        <w:rFonts w:ascii="Symbol" w:hAnsi="Symbol" w:hint="default"/>
      </w:rPr>
    </w:lvl>
    <w:lvl w:ilvl="4" w:tplc="04180003" w:tentative="1">
      <w:start w:val="1"/>
      <w:numFmt w:val="bullet"/>
      <w:lvlText w:val="o"/>
      <w:lvlJc w:val="left"/>
      <w:pPr>
        <w:tabs>
          <w:tab w:val="num" w:pos="3742"/>
        </w:tabs>
        <w:ind w:left="3742" w:hanging="360"/>
      </w:pPr>
      <w:rPr>
        <w:rFonts w:ascii="Courier New" w:hAnsi="Courier New" w:hint="default"/>
      </w:rPr>
    </w:lvl>
    <w:lvl w:ilvl="5" w:tplc="04180005" w:tentative="1">
      <w:start w:val="1"/>
      <w:numFmt w:val="bullet"/>
      <w:lvlText w:val=""/>
      <w:lvlJc w:val="left"/>
      <w:pPr>
        <w:tabs>
          <w:tab w:val="num" w:pos="4462"/>
        </w:tabs>
        <w:ind w:left="4462" w:hanging="360"/>
      </w:pPr>
      <w:rPr>
        <w:rFonts w:ascii="Wingdings" w:hAnsi="Wingdings" w:hint="default"/>
      </w:rPr>
    </w:lvl>
    <w:lvl w:ilvl="6" w:tplc="04180001" w:tentative="1">
      <w:start w:val="1"/>
      <w:numFmt w:val="bullet"/>
      <w:lvlText w:val=""/>
      <w:lvlJc w:val="left"/>
      <w:pPr>
        <w:tabs>
          <w:tab w:val="num" w:pos="5182"/>
        </w:tabs>
        <w:ind w:left="5182" w:hanging="360"/>
      </w:pPr>
      <w:rPr>
        <w:rFonts w:ascii="Symbol" w:hAnsi="Symbol" w:hint="default"/>
      </w:rPr>
    </w:lvl>
    <w:lvl w:ilvl="7" w:tplc="04180003" w:tentative="1">
      <w:start w:val="1"/>
      <w:numFmt w:val="bullet"/>
      <w:lvlText w:val="o"/>
      <w:lvlJc w:val="left"/>
      <w:pPr>
        <w:tabs>
          <w:tab w:val="num" w:pos="5902"/>
        </w:tabs>
        <w:ind w:left="5902" w:hanging="360"/>
      </w:pPr>
      <w:rPr>
        <w:rFonts w:ascii="Courier New" w:hAnsi="Courier New" w:hint="default"/>
      </w:rPr>
    </w:lvl>
    <w:lvl w:ilvl="8" w:tplc="0418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6AD82D71"/>
    <w:multiLevelType w:val="hybridMultilevel"/>
    <w:tmpl w:val="46E06B78"/>
    <w:lvl w:ilvl="0" w:tplc="B37C2144">
      <w:start w:val="1"/>
      <w:numFmt w:val="lowerLetter"/>
      <w:lvlText w:val="%1)"/>
      <w:lvlJc w:val="left"/>
      <w:pPr>
        <w:tabs>
          <w:tab w:val="num" w:pos="900"/>
        </w:tabs>
        <w:ind w:left="900" w:hanging="360"/>
      </w:pPr>
      <w:rPr>
        <w:rFonts w:hint="default"/>
      </w:rPr>
    </w:lvl>
    <w:lvl w:ilvl="1" w:tplc="0418001B">
      <w:start w:val="1"/>
      <w:numFmt w:val="lowerRoman"/>
      <w:lvlText w:val="%2."/>
      <w:lvlJc w:val="righ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E521CB3"/>
    <w:multiLevelType w:val="hybridMultilevel"/>
    <w:tmpl w:val="161237EE"/>
    <w:lvl w:ilvl="0" w:tplc="09B0F56C">
      <w:start w:val="1"/>
      <w:numFmt w:val="decimal"/>
      <w:lvlText w:val="%1."/>
      <w:lvlJc w:val="left"/>
      <w:pPr>
        <w:tabs>
          <w:tab w:val="num" w:pos="1069"/>
        </w:tabs>
        <w:ind w:left="1069" w:hanging="360"/>
      </w:pPr>
      <w:rPr>
        <w:rFonts w:hint="default"/>
        <w:b w:val="0"/>
        <w:strike w:val="0"/>
        <w:color w:val="auto"/>
        <w:sz w:val="22"/>
        <w:szCs w:val="22"/>
      </w:rPr>
    </w:lvl>
    <w:lvl w:ilvl="1" w:tplc="BDDA0046">
      <w:start w:val="1"/>
      <w:numFmt w:val="lowerLetter"/>
      <w:lvlText w:val="%2)"/>
      <w:lvlJc w:val="left"/>
      <w:pPr>
        <w:tabs>
          <w:tab w:val="num" w:pos="1353"/>
        </w:tabs>
        <w:ind w:left="1353" w:hanging="360"/>
      </w:pPr>
      <w:rPr>
        <w:rFonts w:hint="default"/>
        <w:color w:val="auto"/>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6"/>
  </w:num>
  <w:num w:numId="3">
    <w:abstractNumId w:val="20"/>
  </w:num>
  <w:num w:numId="4">
    <w:abstractNumId w:val="19"/>
  </w:num>
  <w:num w:numId="5">
    <w:abstractNumId w:val="17"/>
  </w:num>
  <w:num w:numId="6">
    <w:abstractNumId w:val="8"/>
  </w:num>
  <w:num w:numId="7">
    <w:abstractNumId w:val="9"/>
  </w:num>
  <w:num w:numId="8">
    <w:abstractNumId w:val="12"/>
  </w:num>
  <w:num w:numId="9">
    <w:abstractNumId w:val="7"/>
  </w:num>
  <w:num w:numId="10">
    <w:abstractNumId w:val="4"/>
  </w:num>
  <w:num w:numId="11">
    <w:abstractNumId w:val="15"/>
  </w:num>
  <w:num w:numId="12">
    <w:abstractNumId w:val="14"/>
  </w:num>
  <w:num w:numId="13">
    <w:abstractNumId w:val="13"/>
  </w:num>
  <w:num w:numId="14">
    <w:abstractNumId w:val="18"/>
  </w:num>
  <w:num w:numId="15">
    <w:abstractNumId w:val="5"/>
  </w:num>
  <w:num w:numId="16">
    <w:abstractNumId w:val="1"/>
  </w:num>
  <w:num w:numId="17">
    <w:abstractNumId w:val="2"/>
  </w:num>
  <w:num w:numId="18">
    <w:abstractNumId w:val="3"/>
  </w:num>
  <w:num w:numId="19">
    <w:abstractNumId w:val="10"/>
  </w:num>
  <w:num w:numId="20">
    <w:abstractNumId w:val="11"/>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6906"/>
    <w:rsid w:val="00010174"/>
    <w:rsid w:val="00011401"/>
    <w:rsid w:val="00012352"/>
    <w:rsid w:val="00012F8E"/>
    <w:rsid w:val="0002375C"/>
    <w:rsid w:val="00034FE2"/>
    <w:rsid w:val="00042581"/>
    <w:rsid w:val="000524A2"/>
    <w:rsid w:val="00054E57"/>
    <w:rsid w:val="0005589D"/>
    <w:rsid w:val="00061155"/>
    <w:rsid w:val="000637FB"/>
    <w:rsid w:val="000705A9"/>
    <w:rsid w:val="00071F13"/>
    <w:rsid w:val="000735AB"/>
    <w:rsid w:val="00073F2D"/>
    <w:rsid w:val="00082340"/>
    <w:rsid w:val="00083EF9"/>
    <w:rsid w:val="00085E70"/>
    <w:rsid w:val="000876A0"/>
    <w:rsid w:val="00092961"/>
    <w:rsid w:val="00092C96"/>
    <w:rsid w:val="0009427D"/>
    <w:rsid w:val="00095340"/>
    <w:rsid w:val="000A0D80"/>
    <w:rsid w:val="000A244F"/>
    <w:rsid w:val="000A7A17"/>
    <w:rsid w:val="000B1C23"/>
    <w:rsid w:val="000B3018"/>
    <w:rsid w:val="000B4EF4"/>
    <w:rsid w:val="000B5B2C"/>
    <w:rsid w:val="000C7A86"/>
    <w:rsid w:val="000D0335"/>
    <w:rsid w:val="000D6591"/>
    <w:rsid w:val="000D6946"/>
    <w:rsid w:val="000E1D41"/>
    <w:rsid w:val="000E2A52"/>
    <w:rsid w:val="000F18E5"/>
    <w:rsid w:val="000F315C"/>
    <w:rsid w:val="000F62E2"/>
    <w:rsid w:val="000F74EF"/>
    <w:rsid w:val="00100F36"/>
    <w:rsid w:val="00101C65"/>
    <w:rsid w:val="00102C15"/>
    <w:rsid w:val="00106B05"/>
    <w:rsid w:val="00122520"/>
    <w:rsid w:val="00132596"/>
    <w:rsid w:val="00132B94"/>
    <w:rsid w:val="00135A3C"/>
    <w:rsid w:val="00141057"/>
    <w:rsid w:val="00144DB8"/>
    <w:rsid w:val="001453AE"/>
    <w:rsid w:val="0015059C"/>
    <w:rsid w:val="00151298"/>
    <w:rsid w:val="00160657"/>
    <w:rsid w:val="00160B2D"/>
    <w:rsid w:val="001615D0"/>
    <w:rsid w:val="001728BF"/>
    <w:rsid w:val="00182249"/>
    <w:rsid w:val="001831C2"/>
    <w:rsid w:val="001A1A93"/>
    <w:rsid w:val="001A2315"/>
    <w:rsid w:val="001A29A2"/>
    <w:rsid w:val="001A332E"/>
    <w:rsid w:val="001A3D9A"/>
    <w:rsid w:val="001A54DD"/>
    <w:rsid w:val="001A62E8"/>
    <w:rsid w:val="001B5BBB"/>
    <w:rsid w:val="001B7EB8"/>
    <w:rsid w:val="001C41FA"/>
    <w:rsid w:val="001C5E28"/>
    <w:rsid w:val="001C65FD"/>
    <w:rsid w:val="001C77BD"/>
    <w:rsid w:val="001D1B18"/>
    <w:rsid w:val="001D2F05"/>
    <w:rsid w:val="001D5CFC"/>
    <w:rsid w:val="001D6645"/>
    <w:rsid w:val="001E4AA8"/>
    <w:rsid w:val="001E7122"/>
    <w:rsid w:val="00202DBF"/>
    <w:rsid w:val="00204C40"/>
    <w:rsid w:val="00211D34"/>
    <w:rsid w:val="002133AA"/>
    <w:rsid w:val="00213C87"/>
    <w:rsid w:val="00214FD9"/>
    <w:rsid w:val="00216294"/>
    <w:rsid w:val="00216938"/>
    <w:rsid w:val="00222658"/>
    <w:rsid w:val="00227D91"/>
    <w:rsid w:val="00233678"/>
    <w:rsid w:val="002343CA"/>
    <w:rsid w:val="00234465"/>
    <w:rsid w:val="002359B9"/>
    <w:rsid w:val="0027155F"/>
    <w:rsid w:val="002738C5"/>
    <w:rsid w:val="00281F49"/>
    <w:rsid w:val="00284D1F"/>
    <w:rsid w:val="00285870"/>
    <w:rsid w:val="00286031"/>
    <w:rsid w:val="00296AB8"/>
    <w:rsid w:val="00296C20"/>
    <w:rsid w:val="002A281C"/>
    <w:rsid w:val="002A5742"/>
    <w:rsid w:val="002A595C"/>
    <w:rsid w:val="002A59C4"/>
    <w:rsid w:val="002A5CDA"/>
    <w:rsid w:val="002B0140"/>
    <w:rsid w:val="002C3382"/>
    <w:rsid w:val="002C3D23"/>
    <w:rsid w:val="002C4315"/>
    <w:rsid w:val="002C4B4C"/>
    <w:rsid w:val="002C730A"/>
    <w:rsid w:val="002E072C"/>
    <w:rsid w:val="002E2D1B"/>
    <w:rsid w:val="002E4E5A"/>
    <w:rsid w:val="002F48B3"/>
    <w:rsid w:val="00305226"/>
    <w:rsid w:val="003074F3"/>
    <w:rsid w:val="00307A7F"/>
    <w:rsid w:val="00315CE9"/>
    <w:rsid w:val="00320268"/>
    <w:rsid w:val="00322E45"/>
    <w:rsid w:val="003277F5"/>
    <w:rsid w:val="00333481"/>
    <w:rsid w:val="003414E0"/>
    <w:rsid w:val="0034559D"/>
    <w:rsid w:val="00350356"/>
    <w:rsid w:val="00356739"/>
    <w:rsid w:val="0036307F"/>
    <w:rsid w:val="00364519"/>
    <w:rsid w:val="0036760C"/>
    <w:rsid w:val="00371976"/>
    <w:rsid w:val="00373BA3"/>
    <w:rsid w:val="00382725"/>
    <w:rsid w:val="00384534"/>
    <w:rsid w:val="00393F60"/>
    <w:rsid w:val="0039550F"/>
    <w:rsid w:val="00396AF5"/>
    <w:rsid w:val="003A2088"/>
    <w:rsid w:val="003A2514"/>
    <w:rsid w:val="003A3E1F"/>
    <w:rsid w:val="003A50A5"/>
    <w:rsid w:val="003B64B8"/>
    <w:rsid w:val="003C454B"/>
    <w:rsid w:val="003C4608"/>
    <w:rsid w:val="003C7EEA"/>
    <w:rsid w:val="003D14E9"/>
    <w:rsid w:val="003D3696"/>
    <w:rsid w:val="003F435A"/>
    <w:rsid w:val="003F5CCC"/>
    <w:rsid w:val="003F7698"/>
    <w:rsid w:val="00404105"/>
    <w:rsid w:val="00412CE4"/>
    <w:rsid w:val="004168CF"/>
    <w:rsid w:val="004207D5"/>
    <w:rsid w:val="00426873"/>
    <w:rsid w:val="00432D65"/>
    <w:rsid w:val="004330F8"/>
    <w:rsid w:val="00443973"/>
    <w:rsid w:val="00445DA2"/>
    <w:rsid w:val="00447193"/>
    <w:rsid w:val="0044780D"/>
    <w:rsid w:val="0045104B"/>
    <w:rsid w:val="00454883"/>
    <w:rsid w:val="004548C6"/>
    <w:rsid w:val="00463656"/>
    <w:rsid w:val="0046476C"/>
    <w:rsid w:val="00470CF5"/>
    <w:rsid w:val="0047504B"/>
    <w:rsid w:val="00480641"/>
    <w:rsid w:val="004817D3"/>
    <w:rsid w:val="004843DE"/>
    <w:rsid w:val="00490EEE"/>
    <w:rsid w:val="0049230A"/>
    <w:rsid w:val="00493AD5"/>
    <w:rsid w:val="00494022"/>
    <w:rsid w:val="004A02F1"/>
    <w:rsid w:val="004A43AD"/>
    <w:rsid w:val="004A624A"/>
    <w:rsid w:val="004B33CC"/>
    <w:rsid w:val="004B6976"/>
    <w:rsid w:val="004C3578"/>
    <w:rsid w:val="004C6AF2"/>
    <w:rsid w:val="004C6D93"/>
    <w:rsid w:val="004C77D8"/>
    <w:rsid w:val="004D026C"/>
    <w:rsid w:val="004D0288"/>
    <w:rsid w:val="004D403A"/>
    <w:rsid w:val="004D684E"/>
    <w:rsid w:val="004D76B6"/>
    <w:rsid w:val="004F1075"/>
    <w:rsid w:val="004F1423"/>
    <w:rsid w:val="004F57D5"/>
    <w:rsid w:val="0050264A"/>
    <w:rsid w:val="00523095"/>
    <w:rsid w:val="00525756"/>
    <w:rsid w:val="0052593F"/>
    <w:rsid w:val="00526881"/>
    <w:rsid w:val="00526BF9"/>
    <w:rsid w:val="005326A7"/>
    <w:rsid w:val="00537DE5"/>
    <w:rsid w:val="00541EA9"/>
    <w:rsid w:val="005436D5"/>
    <w:rsid w:val="00543CA8"/>
    <w:rsid w:val="00547A4D"/>
    <w:rsid w:val="0055065C"/>
    <w:rsid w:val="005518C2"/>
    <w:rsid w:val="00552D12"/>
    <w:rsid w:val="0055566A"/>
    <w:rsid w:val="00556147"/>
    <w:rsid w:val="005575E2"/>
    <w:rsid w:val="00566C2A"/>
    <w:rsid w:val="00567649"/>
    <w:rsid w:val="00571249"/>
    <w:rsid w:val="0058155D"/>
    <w:rsid w:val="00584D9A"/>
    <w:rsid w:val="00587B8D"/>
    <w:rsid w:val="0059240E"/>
    <w:rsid w:val="0059439D"/>
    <w:rsid w:val="005968D7"/>
    <w:rsid w:val="005A40AC"/>
    <w:rsid w:val="005A515B"/>
    <w:rsid w:val="005B1A93"/>
    <w:rsid w:val="005B3638"/>
    <w:rsid w:val="005B4F71"/>
    <w:rsid w:val="005B5DB5"/>
    <w:rsid w:val="005C12ED"/>
    <w:rsid w:val="005C1A6E"/>
    <w:rsid w:val="005C680A"/>
    <w:rsid w:val="005D03A2"/>
    <w:rsid w:val="005D2DF9"/>
    <w:rsid w:val="005D3C2D"/>
    <w:rsid w:val="005D65D1"/>
    <w:rsid w:val="005D7782"/>
    <w:rsid w:val="005E064B"/>
    <w:rsid w:val="005E6FFA"/>
    <w:rsid w:val="005F0F17"/>
    <w:rsid w:val="005F450E"/>
    <w:rsid w:val="005F4ACA"/>
    <w:rsid w:val="005F5874"/>
    <w:rsid w:val="00600F97"/>
    <w:rsid w:val="006137D2"/>
    <w:rsid w:val="00614764"/>
    <w:rsid w:val="0061575D"/>
    <w:rsid w:val="00631B85"/>
    <w:rsid w:val="0063227E"/>
    <w:rsid w:val="006379F8"/>
    <w:rsid w:val="0064092A"/>
    <w:rsid w:val="00641A59"/>
    <w:rsid w:val="00652700"/>
    <w:rsid w:val="00654151"/>
    <w:rsid w:val="00656F7A"/>
    <w:rsid w:val="00663237"/>
    <w:rsid w:val="00664717"/>
    <w:rsid w:val="00664A05"/>
    <w:rsid w:val="00666AA1"/>
    <w:rsid w:val="0067291C"/>
    <w:rsid w:val="0068004B"/>
    <w:rsid w:val="00680539"/>
    <w:rsid w:val="00682C4A"/>
    <w:rsid w:val="00682D72"/>
    <w:rsid w:val="00690C75"/>
    <w:rsid w:val="00690CB1"/>
    <w:rsid w:val="006A090F"/>
    <w:rsid w:val="006A2510"/>
    <w:rsid w:val="006A35E0"/>
    <w:rsid w:val="006B183E"/>
    <w:rsid w:val="006B325C"/>
    <w:rsid w:val="006C5E9A"/>
    <w:rsid w:val="006D45E2"/>
    <w:rsid w:val="006D7224"/>
    <w:rsid w:val="006E15EC"/>
    <w:rsid w:val="006E3CBA"/>
    <w:rsid w:val="006E3D80"/>
    <w:rsid w:val="006E664C"/>
    <w:rsid w:val="006F4459"/>
    <w:rsid w:val="006F5747"/>
    <w:rsid w:val="006F7021"/>
    <w:rsid w:val="006F7384"/>
    <w:rsid w:val="0070084C"/>
    <w:rsid w:val="0070687A"/>
    <w:rsid w:val="0070760C"/>
    <w:rsid w:val="00711AAA"/>
    <w:rsid w:val="00714B93"/>
    <w:rsid w:val="00722257"/>
    <w:rsid w:val="00722BEC"/>
    <w:rsid w:val="00727B27"/>
    <w:rsid w:val="007330F0"/>
    <w:rsid w:val="00737018"/>
    <w:rsid w:val="00751B27"/>
    <w:rsid w:val="00752713"/>
    <w:rsid w:val="00764144"/>
    <w:rsid w:val="00766E0E"/>
    <w:rsid w:val="007716E2"/>
    <w:rsid w:val="007854C7"/>
    <w:rsid w:val="00791201"/>
    <w:rsid w:val="00794D14"/>
    <w:rsid w:val="00796BFA"/>
    <w:rsid w:val="0079734B"/>
    <w:rsid w:val="00797F8A"/>
    <w:rsid w:val="007A28FB"/>
    <w:rsid w:val="007A2F8E"/>
    <w:rsid w:val="007A6034"/>
    <w:rsid w:val="007B3C57"/>
    <w:rsid w:val="007B41EE"/>
    <w:rsid w:val="007B67F4"/>
    <w:rsid w:val="007C07BC"/>
    <w:rsid w:val="007C350A"/>
    <w:rsid w:val="007C4620"/>
    <w:rsid w:val="007C4BE6"/>
    <w:rsid w:val="007D5B46"/>
    <w:rsid w:val="007D6694"/>
    <w:rsid w:val="007E04B5"/>
    <w:rsid w:val="007F12A8"/>
    <w:rsid w:val="007F2108"/>
    <w:rsid w:val="007F55F1"/>
    <w:rsid w:val="007F7A06"/>
    <w:rsid w:val="007F7F19"/>
    <w:rsid w:val="008014FF"/>
    <w:rsid w:val="00803D9D"/>
    <w:rsid w:val="00806304"/>
    <w:rsid w:val="00812F2B"/>
    <w:rsid w:val="00815E9F"/>
    <w:rsid w:val="00821C09"/>
    <w:rsid w:val="00823C39"/>
    <w:rsid w:val="00830C9C"/>
    <w:rsid w:val="008329FF"/>
    <w:rsid w:val="00833FDD"/>
    <w:rsid w:val="0083439A"/>
    <w:rsid w:val="00841606"/>
    <w:rsid w:val="0084721F"/>
    <w:rsid w:val="00850835"/>
    <w:rsid w:val="00850B2E"/>
    <w:rsid w:val="008539E8"/>
    <w:rsid w:val="008577D2"/>
    <w:rsid w:val="00860295"/>
    <w:rsid w:val="00871819"/>
    <w:rsid w:val="008719D9"/>
    <w:rsid w:val="008729CB"/>
    <w:rsid w:val="00873D19"/>
    <w:rsid w:val="0088039B"/>
    <w:rsid w:val="00887300"/>
    <w:rsid w:val="008930FC"/>
    <w:rsid w:val="008967D6"/>
    <w:rsid w:val="00897046"/>
    <w:rsid w:val="008A1EF2"/>
    <w:rsid w:val="008A2AC0"/>
    <w:rsid w:val="008B2672"/>
    <w:rsid w:val="008B3976"/>
    <w:rsid w:val="008B3DBC"/>
    <w:rsid w:val="008B4FBF"/>
    <w:rsid w:val="008B5208"/>
    <w:rsid w:val="008C260F"/>
    <w:rsid w:val="008C3607"/>
    <w:rsid w:val="008C5CA9"/>
    <w:rsid w:val="008D3AC3"/>
    <w:rsid w:val="008E0C55"/>
    <w:rsid w:val="008E1803"/>
    <w:rsid w:val="008E219B"/>
    <w:rsid w:val="008E3DF3"/>
    <w:rsid w:val="008E6539"/>
    <w:rsid w:val="008F0A81"/>
    <w:rsid w:val="008F340D"/>
    <w:rsid w:val="008F3ACC"/>
    <w:rsid w:val="0090070D"/>
    <w:rsid w:val="00900DDE"/>
    <w:rsid w:val="0090148F"/>
    <w:rsid w:val="00903C8F"/>
    <w:rsid w:val="0090586D"/>
    <w:rsid w:val="0090628F"/>
    <w:rsid w:val="009155A0"/>
    <w:rsid w:val="009170F4"/>
    <w:rsid w:val="00922B87"/>
    <w:rsid w:val="00923CD9"/>
    <w:rsid w:val="00925033"/>
    <w:rsid w:val="009259FC"/>
    <w:rsid w:val="009352A2"/>
    <w:rsid w:val="00936D22"/>
    <w:rsid w:val="009378E9"/>
    <w:rsid w:val="00937CF4"/>
    <w:rsid w:val="00937DE4"/>
    <w:rsid w:val="00945437"/>
    <w:rsid w:val="00955D28"/>
    <w:rsid w:val="00971FB1"/>
    <w:rsid w:val="00980D64"/>
    <w:rsid w:val="00982CF1"/>
    <w:rsid w:val="00986DA7"/>
    <w:rsid w:val="0099224B"/>
    <w:rsid w:val="00992AF5"/>
    <w:rsid w:val="00996AE2"/>
    <w:rsid w:val="009A2A17"/>
    <w:rsid w:val="009A4A84"/>
    <w:rsid w:val="009B11B5"/>
    <w:rsid w:val="009B18AA"/>
    <w:rsid w:val="009B407F"/>
    <w:rsid w:val="009B5FDE"/>
    <w:rsid w:val="009C0F4F"/>
    <w:rsid w:val="009C187F"/>
    <w:rsid w:val="009C26D3"/>
    <w:rsid w:val="009C4DBF"/>
    <w:rsid w:val="009C7C1E"/>
    <w:rsid w:val="009D0598"/>
    <w:rsid w:val="009D1831"/>
    <w:rsid w:val="009D564F"/>
    <w:rsid w:val="009E036C"/>
    <w:rsid w:val="009E36F2"/>
    <w:rsid w:val="009F2408"/>
    <w:rsid w:val="009F5E22"/>
    <w:rsid w:val="009F66B4"/>
    <w:rsid w:val="00A021CE"/>
    <w:rsid w:val="00A02FB4"/>
    <w:rsid w:val="00A0364B"/>
    <w:rsid w:val="00A044F3"/>
    <w:rsid w:val="00A11C4E"/>
    <w:rsid w:val="00A20388"/>
    <w:rsid w:val="00A22BFF"/>
    <w:rsid w:val="00A2403E"/>
    <w:rsid w:val="00A25D45"/>
    <w:rsid w:val="00A30283"/>
    <w:rsid w:val="00A33775"/>
    <w:rsid w:val="00A35867"/>
    <w:rsid w:val="00A363C1"/>
    <w:rsid w:val="00A45148"/>
    <w:rsid w:val="00A45C59"/>
    <w:rsid w:val="00A5455C"/>
    <w:rsid w:val="00A60393"/>
    <w:rsid w:val="00A6092E"/>
    <w:rsid w:val="00A64527"/>
    <w:rsid w:val="00A67955"/>
    <w:rsid w:val="00A702C8"/>
    <w:rsid w:val="00A7337E"/>
    <w:rsid w:val="00A744DA"/>
    <w:rsid w:val="00A816D1"/>
    <w:rsid w:val="00A90E38"/>
    <w:rsid w:val="00A919C1"/>
    <w:rsid w:val="00A92B76"/>
    <w:rsid w:val="00AA189E"/>
    <w:rsid w:val="00AA4991"/>
    <w:rsid w:val="00AA791C"/>
    <w:rsid w:val="00AB7F1F"/>
    <w:rsid w:val="00AC2FAB"/>
    <w:rsid w:val="00AC3D67"/>
    <w:rsid w:val="00AC427C"/>
    <w:rsid w:val="00AC58E5"/>
    <w:rsid w:val="00AC6132"/>
    <w:rsid w:val="00AC6202"/>
    <w:rsid w:val="00AD0197"/>
    <w:rsid w:val="00AD0467"/>
    <w:rsid w:val="00AD07F8"/>
    <w:rsid w:val="00AD2972"/>
    <w:rsid w:val="00AE0404"/>
    <w:rsid w:val="00AE0934"/>
    <w:rsid w:val="00AE1B24"/>
    <w:rsid w:val="00AE26B4"/>
    <w:rsid w:val="00AF0254"/>
    <w:rsid w:val="00AF53FA"/>
    <w:rsid w:val="00AF5823"/>
    <w:rsid w:val="00AF7FC0"/>
    <w:rsid w:val="00B0471D"/>
    <w:rsid w:val="00B13BB4"/>
    <w:rsid w:val="00B15CD7"/>
    <w:rsid w:val="00B15D41"/>
    <w:rsid w:val="00B16CD7"/>
    <w:rsid w:val="00B202B6"/>
    <w:rsid w:val="00B20448"/>
    <w:rsid w:val="00B2299B"/>
    <w:rsid w:val="00B24981"/>
    <w:rsid w:val="00B33B00"/>
    <w:rsid w:val="00B360BA"/>
    <w:rsid w:val="00B37D53"/>
    <w:rsid w:val="00B4144A"/>
    <w:rsid w:val="00B46B82"/>
    <w:rsid w:val="00B51B69"/>
    <w:rsid w:val="00B54DDE"/>
    <w:rsid w:val="00B56A1D"/>
    <w:rsid w:val="00B637D4"/>
    <w:rsid w:val="00B672FE"/>
    <w:rsid w:val="00B70B61"/>
    <w:rsid w:val="00B77A30"/>
    <w:rsid w:val="00B81A92"/>
    <w:rsid w:val="00B8481C"/>
    <w:rsid w:val="00B84C4D"/>
    <w:rsid w:val="00B86381"/>
    <w:rsid w:val="00B95D68"/>
    <w:rsid w:val="00BA514E"/>
    <w:rsid w:val="00BA789C"/>
    <w:rsid w:val="00BB0455"/>
    <w:rsid w:val="00BB406B"/>
    <w:rsid w:val="00BC34E4"/>
    <w:rsid w:val="00BC7D4F"/>
    <w:rsid w:val="00BD016D"/>
    <w:rsid w:val="00BD26A7"/>
    <w:rsid w:val="00BD7FC8"/>
    <w:rsid w:val="00BE05F8"/>
    <w:rsid w:val="00BE121B"/>
    <w:rsid w:val="00BE1953"/>
    <w:rsid w:val="00BE4320"/>
    <w:rsid w:val="00BF3420"/>
    <w:rsid w:val="00BF4B3E"/>
    <w:rsid w:val="00BF5DB8"/>
    <w:rsid w:val="00C00531"/>
    <w:rsid w:val="00C05F49"/>
    <w:rsid w:val="00C07F76"/>
    <w:rsid w:val="00C16B66"/>
    <w:rsid w:val="00C20AD6"/>
    <w:rsid w:val="00C20EF1"/>
    <w:rsid w:val="00C23C23"/>
    <w:rsid w:val="00C3305C"/>
    <w:rsid w:val="00C42450"/>
    <w:rsid w:val="00C42533"/>
    <w:rsid w:val="00C47994"/>
    <w:rsid w:val="00C50809"/>
    <w:rsid w:val="00C5489B"/>
    <w:rsid w:val="00C553AC"/>
    <w:rsid w:val="00C57AA4"/>
    <w:rsid w:val="00C74390"/>
    <w:rsid w:val="00C743D7"/>
    <w:rsid w:val="00C752DE"/>
    <w:rsid w:val="00C75753"/>
    <w:rsid w:val="00C77467"/>
    <w:rsid w:val="00C878AD"/>
    <w:rsid w:val="00C87C76"/>
    <w:rsid w:val="00C925FF"/>
    <w:rsid w:val="00C95FD9"/>
    <w:rsid w:val="00C97878"/>
    <w:rsid w:val="00CA2C61"/>
    <w:rsid w:val="00CA2CA1"/>
    <w:rsid w:val="00CB033A"/>
    <w:rsid w:val="00CB362A"/>
    <w:rsid w:val="00CB79EE"/>
    <w:rsid w:val="00CC2F40"/>
    <w:rsid w:val="00CC422B"/>
    <w:rsid w:val="00CD0C6C"/>
    <w:rsid w:val="00CD0F06"/>
    <w:rsid w:val="00CD2EE4"/>
    <w:rsid w:val="00CD4E10"/>
    <w:rsid w:val="00CD5B3B"/>
    <w:rsid w:val="00CD78E7"/>
    <w:rsid w:val="00CE2A7D"/>
    <w:rsid w:val="00CE3167"/>
    <w:rsid w:val="00CE4D6A"/>
    <w:rsid w:val="00CE62B3"/>
    <w:rsid w:val="00CF42E9"/>
    <w:rsid w:val="00D00E58"/>
    <w:rsid w:val="00D0366B"/>
    <w:rsid w:val="00D06E9C"/>
    <w:rsid w:val="00D13B41"/>
    <w:rsid w:val="00D169B9"/>
    <w:rsid w:val="00D27634"/>
    <w:rsid w:val="00D4033B"/>
    <w:rsid w:val="00D456FB"/>
    <w:rsid w:val="00D6385C"/>
    <w:rsid w:val="00D6476B"/>
    <w:rsid w:val="00D6621C"/>
    <w:rsid w:val="00D7055B"/>
    <w:rsid w:val="00D73400"/>
    <w:rsid w:val="00D75591"/>
    <w:rsid w:val="00D77253"/>
    <w:rsid w:val="00D80E17"/>
    <w:rsid w:val="00D8153B"/>
    <w:rsid w:val="00D8509D"/>
    <w:rsid w:val="00D85DF8"/>
    <w:rsid w:val="00D877C2"/>
    <w:rsid w:val="00D91C4F"/>
    <w:rsid w:val="00D94E15"/>
    <w:rsid w:val="00D9646A"/>
    <w:rsid w:val="00DA3EEC"/>
    <w:rsid w:val="00DA61B1"/>
    <w:rsid w:val="00DB0113"/>
    <w:rsid w:val="00DB569A"/>
    <w:rsid w:val="00DB7D4C"/>
    <w:rsid w:val="00DC2037"/>
    <w:rsid w:val="00DC24A4"/>
    <w:rsid w:val="00DC7926"/>
    <w:rsid w:val="00DD0353"/>
    <w:rsid w:val="00DD12B4"/>
    <w:rsid w:val="00DD66CB"/>
    <w:rsid w:val="00DD75F6"/>
    <w:rsid w:val="00DE5522"/>
    <w:rsid w:val="00DE7252"/>
    <w:rsid w:val="00DF27F1"/>
    <w:rsid w:val="00E16BE2"/>
    <w:rsid w:val="00E215EE"/>
    <w:rsid w:val="00E22DB5"/>
    <w:rsid w:val="00E26FEA"/>
    <w:rsid w:val="00E340B8"/>
    <w:rsid w:val="00E37E8E"/>
    <w:rsid w:val="00E45551"/>
    <w:rsid w:val="00E51BD0"/>
    <w:rsid w:val="00E534E6"/>
    <w:rsid w:val="00E562FC"/>
    <w:rsid w:val="00E568E2"/>
    <w:rsid w:val="00E639E9"/>
    <w:rsid w:val="00E64685"/>
    <w:rsid w:val="00E67607"/>
    <w:rsid w:val="00E71992"/>
    <w:rsid w:val="00E7206B"/>
    <w:rsid w:val="00E8084B"/>
    <w:rsid w:val="00E82F06"/>
    <w:rsid w:val="00E830E6"/>
    <w:rsid w:val="00E83527"/>
    <w:rsid w:val="00E84BF5"/>
    <w:rsid w:val="00E86337"/>
    <w:rsid w:val="00EA44E2"/>
    <w:rsid w:val="00EA69B1"/>
    <w:rsid w:val="00EB1A5D"/>
    <w:rsid w:val="00EB4254"/>
    <w:rsid w:val="00EC1554"/>
    <w:rsid w:val="00EC385B"/>
    <w:rsid w:val="00ED1818"/>
    <w:rsid w:val="00ED18FB"/>
    <w:rsid w:val="00ED7505"/>
    <w:rsid w:val="00EF0690"/>
    <w:rsid w:val="00EF5757"/>
    <w:rsid w:val="00EF7744"/>
    <w:rsid w:val="00F00A3C"/>
    <w:rsid w:val="00F03D67"/>
    <w:rsid w:val="00F049D3"/>
    <w:rsid w:val="00F051BC"/>
    <w:rsid w:val="00F055EC"/>
    <w:rsid w:val="00F137DF"/>
    <w:rsid w:val="00F16DA2"/>
    <w:rsid w:val="00F170A2"/>
    <w:rsid w:val="00F2075C"/>
    <w:rsid w:val="00F236FC"/>
    <w:rsid w:val="00F23A5F"/>
    <w:rsid w:val="00F2488B"/>
    <w:rsid w:val="00F4098A"/>
    <w:rsid w:val="00F42F8A"/>
    <w:rsid w:val="00F444BD"/>
    <w:rsid w:val="00F4642E"/>
    <w:rsid w:val="00F4760D"/>
    <w:rsid w:val="00F513B5"/>
    <w:rsid w:val="00F55AF2"/>
    <w:rsid w:val="00F55E87"/>
    <w:rsid w:val="00F56B8F"/>
    <w:rsid w:val="00F622D5"/>
    <w:rsid w:val="00F633DA"/>
    <w:rsid w:val="00F63723"/>
    <w:rsid w:val="00F66159"/>
    <w:rsid w:val="00F6627F"/>
    <w:rsid w:val="00F66911"/>
    <w:rsid w:val="00F71807"/>
    <w:rsid w:val="00F72393"/>
    <w:rsid w:val="00F81CD7"/>
    <w:rsid w:val="00F9382D"/>
    <w:rsid w:val="00F94A70"/>
    <w:rsid w:val="00F94FBA"/>
    <w:rsid w:val="00F96298"/>
    <w:rsid w:val="00F9717E"/>
    <w:rsid w:val="00FA4648"/>
    <w:rsid w:val="00FB1786"/>
    <w:rsid w:val="00FB30ED"/>
    <w:rsid w:val="00FB6D27"/>
    <w:rsid w:val="00FB70F2"/>
    <w:rsid w:val="00FC4284"/>
    <w:rsid w:val="00FD52A1"/>
    <w:rsid w:val="00FD6467"/>
    <w:rsid w:val="00FD7445"/>
    <w:rsid w:val="00FD76F1"/>
    <w:rsid w:val="00FE2F2C"/>
    <w:rsid w:val="00FE31A8"/>
    <w:rsid w:val="00FE3BE6"/>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3999A8-5FF3-469D-A17F-53226997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cs="Calibri"/>
      <w:b/>
      <w:bCs/>
      <w:i/>
      <w:iCs/>
      <w:sz w:val="28"/>
      <w:szCs w:val="28"/>
    </w:rPr>
  </w:style>
  <w:style w:type="paragraph" w:styleId="Heading6">
    <w:name w:val="heading 6"/>
    <w:basedOn w:val="Normal"/>
    <w:next w:val="Normal"/>
    <w:link w:val="Heading6Char"/>
    <w:qFormat/>
    <w:locked/>
    <w:rsid w:val="00812F2B"/>
    <w:pPr>
      <w:spacing w:before="240" w:after="60" w:line="240" w:lineRule="auto"/>
      <w:ind w:left="0"/>
      <w:jc w:val="left"/>
      <w:outlineLvl w:val="5"/>
    </w:pPr>
    <w:rPr>
      <w:rFonts w:ascii="Times New Roman" w:eastAsia="Times New Roman" w:hAnsi="Times New Roman" w:cs="Times New Roman"/>
      <w:b/>
      <w:bCs/>
      <w:lang w:val="ro-RO" w:eastAsia="ro-RO"/>
    </w:rPr>
  </w:style>
  <w:style w:type="paragraph" w:styleId="Heading7">
    <w:name w:val="heading 7"/>
    <w:basedOn w:val="Normal"/>
    <w:next w:val="Normal"/>
    <w:link w:val="Heading7Char"/>
    <w:qFormat/>
    <w:locked/>
    <w:rsid w:val="0034559D"/>
    <w:pPr>
      <w:spacing w:before="240" w:after="60"/>
      <w:ind w:left="0"/>
      <w:jc w:val="left"/>
      <w:outlineLvl w:val="6"/>
    </w:pPr>
    <w:rPr>
      <w:rFonts w:ascii="Times New Roman" w:eastAsia="Calibri" w:hAnsi="Times New Roman" w:cs="Times New Roman"/>
      <w:sz w:val="24"/>
      <w:szCs w:val="24"/>
      <w:lang w:val="ro-RO"/>
    </w:rPr>
  </w:style>
  <w:style w:type="paragraph" w:styleId="Heading8">
    <w:name w:val="heading 8"/>
    <w:basedOn w:val="Normal"/>
    <w:next w:val="Normal"/>
    <w:link w:val="Heading8Char"/>
    <w:qFormat/>
    <w:locked/>
    <w:rsid w:val="00812F2B"/>
    <w:pPr>
      <w:spacing w:before="240" w:after="60" w:line="240" w:lineRule="auto"/>
      <w:ind w:left="0"/>
      <w:jc w:val="left"/>
      <w:outlineLvl w:val="7"/>
    </w:pPr>
    <w:rPr>
      <w:rFonts w:ascii="Times New Roman" w:eastAsia="Times New Roman" w:hAnsi="Times New Roman" w:cs="Times New Roman"/>
      <w:i/>
      <w:iCs/>
      <w:sz w:val="24"/>
      <w:szCs w:val="24"/>
      <w:lang w:val="ro-RO" w:eastAsia="ro-RO"/>
    </w:rPr>
  </w:style>
  <w:style w:type="paragraph" w:styleId="Heading9">
    <w:name w:val="heading 9"/>
    <w:basedOn w:val="Normal"/>
    <w:next w:val="Normal"/>
    <w:link w:val="Heading9Char"/>
    <w:unhideWhenUsed/>
    <w:qFormat/>
    <w:locked/>
    <w:rsid w:val="00812F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locked/>
    <w:rsid w:val="00100F36"/>
    <w:rPr>
      <w:rFonts w:ascii="Calibri" w:eastAsia="MS Gothic" w:hAnsi="Calibri" w:cs="Calibri"/>
      <w:b/>
      <w:bCs/>
      <w:i/>
      <w:iCs/>
      <w:sz w:val="28"/>
      <w:szCs w:val="28"/>
    </w:rPr>
  </w:style>
  <w:style w:type="paragraph" w:styleId="Header">
    <w:name w:val="header"/>
    <w:basedOn w:val="Normal"/>
    <w:link w:val="HeaderChar"/>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locked/>
    <w:rsid w:val="00E562FC"/>
    <w:rPr>
      <w:rFonts w:ascii="Calibri" w:eastAsia="MS Gothic" w:hAnsi="Calibri" w:cs="Calibri"/>
      <w:b/>
      <w:bCs/>
      <w:kern w:val="28"/>
      <w:sz w:val="32"/>
      <w:szCs w:val="32"/>
    </w:rPr>
  </w:style>
  <w:style w:type="paragraph" w:styleId="BalloonText">
    <w:name w:val="Balloon Text"/>
    <w:basedOn w:val="Normal"/>
    <w:link w:val="BalloonTextChar"/>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05F49"/>
    <w:rPr>
      <w:rFonts w:ascii="Tahoma" w:hAnsi="Tahoma" w:cs="Tahoma"/>
      <w:sz w:val="16"/>
      <w:szCs w:val="16"/>
    </w:rPr>
  </w:style>
  <w:style w:type="character" w:customStyle="1" w:styleId="preambul1">
    <w:name w:val="preambul1"/>
    <w:rsid w:val="00281F49"/>
    <w:rPr>
      <w:i/>
      <w:iCs/>
      <w:color w:val="000000"/>
    </w:rPr>
  </w:style>
  <w:style w:type="character" w:styleId="Hyperlink">
    <w:name w:val="Hyperlink"/>
    <w:rsid w:val="00281F49"/>
    <w:rPr>
      <w:color w:val="0000FF"/>
      <w:u w:val="single"/>
    </w:rPr>
  </w:style>
  <w:style w:type="paragraph" w:styleId="NoSpacing">
    <w:name w:val="No Spacing"/>
    <w:qFormat/>
    <w:rsid w:val="00281F49"/>
    <w:rPr>
      <w:rFonts w:ascii="Calibri" w:eastAsia="Calibri" w:hAnsi="Calibri"/>
      <w:lang w:val="ro-RO"/>
    </w:rPr>
  </w:style>
  <w:style w:type="character" w:customStyle="1" w:styleId="ln2tarticol">
    <w:name w:val="ln2tarticol"/>
    <w:basedOn w:val="DefaultParagraphFont"/>
    <w:rsid w:val="00871819"/>
  </w:style>
  <w:style w:type="paragraph" w:styleId="BodyText2">
    <w:name w:val="Body Text 2"/>
    <w:basedOn w:val="Normal"/>
    <w:link w:val="BodyText2Char"/>
    <w:semiHidden/>
    <w:unhideWhenUsed/>
    <w:rsid w:val="003414E0"/>
    <w:pPr>
      <w:spacing w:after="0" w:line="240" w:lineRule="auto"/>
      <w:ind w:left="0"/>
      <w:jc w:val="center"/>
    </w:pPr>
    <w:rPr>
      <w:rFonts w:ascii="Times New Roman" w:eastAsia="Times New Roman" w:hAnsi="Times New Roman" w:cs="Times New Roman"/>
      <w:b/>
      <w:bCs/>
      <w:sz w:val="24"/>
      <w:szCs w:val="24"/>
      <w:lang w:val="ro-RO"/>
    </w:rPr>
  </w:style>
  <w:style w:type="character" w:customStyle="1" w:styleId="BodyText2Char">
    <w:name w:val="Body Text 2 Char"/>
    <w:basedOn w:val="DefaultParagraphFont"/>
    <w:link w:val="BodyText2"/>
    <w:semiHidden/>
    <w:rsid w:val="003414E0"/>
    <w:rPr>
      <w:rFonts w:ascii="Times New Roman" w:eastAsia="Times New Roman" w:hAnsi="Times New Roman"/>
      <w:b/>
      <w:bCs/>
      <w:sz w:val="24"/>
      <w:szCs w:val="24"/>
      <w:lang w:val="ro-RO"/>
    </w:rPr>
  </w:style>
  <w:style w:type="character" w:customStyle="1" w:styleId="capitol1">
    <w:name w:val="capitol1"/>
    <w:rsid w:val="003414E0"/>
    <w:rPr>
      <w:b/>
      <w:bCs/>
      <w:color w:val="950095"/>
    </w:rPr>
  </w:style>
  <w:style w:type="character" w:customStyle="1" w:styleId="articol1">
    <w:name w:val="articol1"/>
    <w:rsid w:val="00F4098A"/>
    <w:rPr>
      <w:b/>
      <w:bCs/>
      <w:color w:val="009500"/>
    </w:rPr>
  </w:style>
  <w:style w:type="paragraph" w:styleId="ListParagraph">
    <w:name w:val="List Paragraph"/>
    <w:basedOn w:val="Normal"/>
    <w:uiPriority w:val="34"/>
    <w:qFormat/>
    <w:rsid w:val="00F03D67"/>
    <w:pPr>
      <w:ind w:left="720"/>
      <w:contextualSpacing/>
    </w:pPr>
  </w:style>
  <w:style w:type="character" w:customStyle="1" w:styleId="mim-message-content">
    <w:name w:val="mim-message-content"/>
    <w:basedOn w:val="DefaultParagraphFont"/>
    <w:rsid w:val="007F55F1"/>
  </w:style>
  <w:style w:type="paragraph" w:customStyle="1" w:styleId="CM1">
    <w:name w:val="CM1"/>
    <w:basedOn w:val="Normal"/>
    <w:next w:val="Normal"/>
    <w:rsid w:val="007F55F1"/>
    <w:pPr>
      <w:autoSpaceDE w:val="0"/>
      <w:autoSpaceDN w:val="0"/>
      <w:adjustRightInd w:val="0"/>
      <w:spacing w:after="0" w:line="240" w:lineRule="auto"/>
      <w:ind w:left="0"/>
      <w:jc w:val="left"/>
    </w:pPr>
    <w:rPr>
      <w:rFonts w:ascii="EUAlbertina" w:eastAsia="Times New Roman" w:hAnsi="EUAlbertina" w:cs="Times New Roman"/>
      <w:sz w:val="24"/>
      <w:szCs w:val="24"/>
      <w:lang w:val="ro-RO" w:eastAsia="ro-RO"/>
    </w:rPr>
  </w:style>
  <w:style w:type="paragraph" w:customStyle="1" w:styleId="CM3">
    <w:name w:val="CM3"/>
    <w:basedOn w:val="Normal"/>
    <w:next w:val="Normal"/>
    <w:rsid w:val="007F55F1"/>
    <w:pPr>
      <w:autoSpaceDE w:val="0"/>
      <w:autoSpaceDN w:val="0"/>
      <w:adjustRightInd w:val="0"/>
      <w:spacing w:after="0" w:line="240" w:lineRule="auto"/>
      <w:ind w:left="0"/>
      <w:jc w:val="left"/>
    </w:pPr>
    <w:rPr>
      <w:rFonts w:ascii="EUAlbertina" w:eastAsia="Times New Roman" w:hAnsi="EUAlbertina" w:cs="Times New Roman"/>
      <w:sz w:val="24"/>
      <w:szCs w:val="24"/>
      <w:lang w:val="ro-RO" w:eastAsia="ro-RO"/>
    </w:rPr>
  </w:style>
  <w:style w:type="paragraph" w:customStyle="1" w:styleId="CM4">
    <w:name w:val="CM4"/>
    <w:basedOn w:val="Normal"/>
    <w:next w:val="Normal"/>
    <w:rsid w:val="007F55F1"/>
    <w:pPr>
      <w:autoSpaceDE w:val="0"/>
      <w:autoSpaceDN w:val="0"/>
      <w:adjustRightInd w:val="0"/>
      <w:spacing w:after="0" w:line="240" w:lineRule="auto"/>
      <w:ind w:left="0"/>
      <w:jc w:val="left"/>
    </w:pPr>
    <w:rPr>
      <w:rFonts w:ascii="EUAlbertina" w:eastAsia="Times New Roman" w:hAnsi="EUAlbertina" w:cs="Times New Roman"/>
      <w:sz w:val="24"/>
      <w:szCs w:val="24"/>
      <w:lang w:val="ro-RO" w:eastAsia="ro-RO"/>
    </w:rPr>
  </w:style>
  <w:style w:type="paragraph" w:styleId="FootnoteText">
    <w:name w:val="footnote text"/>
    <w:basedOn w:val="Normal"/>
    <w:link w:val="FootnoteTextChar"/>
    <w:rsid w:val="007F55F1"/>
    <w:pPr>
      <w:spacing w:after="200"/>
      <w:ind w:left="0"/>
      <w:jc w:val="left"/>
    </w:pPr>
    <w:rPr>
      <w:rFonts w:ascii="Calibri" w:eastAsia="Times New Roman" w:hAnsi="Calibri" w:cs="Times New Roman"/>
      <w:sz w:val="20"/>
      <w:szCs w:val="20"/>
      <w:lang w:val="ro-RO"/>
    </w:rPr>
  </w:style>
  <w:style w:type="character" w:customStyle="1" w:styleId="FootnoteTextChar">
    <w:name w:val="Footnote Text Char"/>
    <w:basedOn w:val="DefaultParagraphFont"/>
    <w:link w:val="FootnoteText"/>
    <w:rsid w:val="007F55F1"/>
    <w:rPr>
      <w:rFonts w:ascii="Calibri" w:eastAsia="Times New Roman" w:hAnsi="Calibri"/>
      <w:sz w:val="20"/>
      <w:szCs w:val="20"/>
      <w:lang w:val="ro-RO"/>
    </w:rPr>
  </w:style>
  <w:style w:type="character" w:styleId="FootnoteReference">
    <w:name w:val="footnote reference"/>
    <w:rsid w:val="007F55F1"/>
    <w:rPr>
      <w:vertAlign w:val="superscript"/>
    </w:rPr>
  </w:style>
  <w:style w:type="paragraph" w:styleId="Caption">
    <w:name w:val="caption"/>
    <w:basedOn w:val="Normal"/>
    <w:next w:val="Normal"/>
    <w:qFormat/>
    <w:locked/>
    <w:rsid w:val="007F55F1"/>
    <w:pPr>
      <w:spacing w:before="200" w:after="200"/>
      <w:ind w:left="0"/>
      <w:jc w:val="left"/>
    </w:pPr>
    <w:rPr>
      <w:rFonts w:ascii="Calibri" w:eastAsia="Times New Roman" w:hAnsi="Calibri" w:cs="Times New Roman"/>
      <w:b/>
      <w:bCs/>
      <w:color w:val="365F91"/>
      <w:sz w:val="16"/>
      <w:szCs w:val="16"/>
      <w:lang w:val="ro-RO" w:bidi="en-US"/>
    </w:rPr>
  </w:style>
  <w:style w:type="character" w:styleId="PageNumber">
    <w:name w:val="page number"/>
    <w:basedOn w:val="DefaultParagraphFont"/>
    <w:rsid w:val="007F55F1"/>
  </w:style>
  <w:style w:type="paragraph" w:styleId="NormalWeb">
    <w:name w:val="Normal (Web)"/>
    <w:basedOn w:val="Normal"/>
    <w:unhideWhenUsed/>
    <w:rsid w:val="007F55F1"/>
    <w:pPr>
      <w:spacing w:before="100" w:beforeAutospacing="1" w:after="100" w:afterAutospacing="1" w:line="240" w:lineRule="auto"/>
      <w:ind w:left="0"/>
      <w:jc w:val="left"/>
    </w:pPr>
    <w:rPr>
      <w:rFonts w:ascii="Times New Roman" w:eastAsia="Times New Roman" w:hAnsi="Times New Roman" w:cs="Times New Roman"/>
      <w:sz w:val="24"/>
      <w:szCs w:val="24"/>
      <w:lang w:val="en-GB" w:eastAsia="en-GB"/>
    </w:rPr>
  </w:style>
  <w:style w:type="paragraph" w:styleId="DocumentMap">
    <w:name w:val="Document Map"/>
    <w:basedOn w:val="Normal"/>
    <w:link w:val="DocumentMapChar"/>
    <w:semiHidden/>
    <w:rsid w:val="007F55F1"/>
    <w:pPr>
      <w:shd w:val="clear" w:color="auto" w:fill="000080"/>
      <w:spacing w:after="200"/>
      <w:ind w:left="0"/>
      <w:jc w:val="left"/>
    </w:pPr>
    <w:rPr>
      <w:rFonts w:ascii="Tahoma" w:eastAsia="Calibri" w:hAnsi="Tahoma" w:cs="Tahoma"/>
      <w:sz w:val="20"/>
      <w:szCs w:val="20"/>
      <w:lang w:val="en-GB"/>
    </w:rPr>
  </w:style>
  <w:style w:type="character" w:customStyle="1" w:styleId="DocumentMapChar">
    <w:name w:val="Document Map Char"/>
    <w:basedOn w:val="DefaultParagraphFont"/>
    <w:link w:val="DocumentMap"/>
    <w:semiHidden/>
    <w:rsid w:val="007F55F1"/>
    <w:rPr>
      <w:rFonts w:ascii="Tahoma" w:eastAsia="Calibri" w:hAnsi="Tahoma" w:cs="Tahoma"/>
      <w:sz w:val="20"/>
      <w:szCs w:val="20"/>
      <w:shd w:val="clear" w:color="auto" w:fill="000080"/>
      <w:lang w:val="en-GB"/>
    </w:rPr>
  </w:style>
  <w:style w:type="character" w:customStyle="1" w:styleId="CharChar25">
    <w:name w:val="Char Char25"/>
    <w:rsid w:val="007F55F1"/>
    <w:rPr>
      <w:rFonts w:ascii="Calibri" w:eastAsia="Calibri" w:hAnsi="Calibri"/>
      <w:lang w:val="ro-RO" w:eastAsia="en-US" w:bidi="ar-SA"/>
    </w:rPr>
  </w:style>
  <w:style w:type="paragraph" w:customStyle="1" w:styleId="Default">
    <w:name w:val="Default"/>
    <w:rsid w:val="007F55F1"/>
    <w:pPr>
      <w:autoSpaceDE w:val="0"/>
      <w:autoSpaceDN w:val="0"/>
      <w:adjustRightInd w:val="0"/>
    </w:pPr>
    <w:rPr>
      <w:rFonts w:ascii="Verdana" w:eastAsia="Times New Roman" w:hAnsi="Verdana" w:cs="Verdana"/>
      <w:color w:val="000000"/>
      <w:sz w:val="24"/>
      <w:szCs w:val="24"/>
    </w:rPr>
  </w:style>
  <w:style w:type="paragraph" w:styleId="ListBullet">
    <w:name w:val="List Bullet"/>
    <w:basedOn w:val="Normal"/>
    <w:rsid w:val="007F55F1"/>
    <w:pPr>
      <w:numPr>
        <w:numId w:val="1"/>
      </w:numPr>
      <w:spacing w:after="0" w:line="240" w:lineRule="auto"/>
      <w:contextualSpacing/>
      <w:jc w:val="left"/>
    </w:pPr>
    <w:rPr>
      <w:rFonts w:ascii="Times New Roman" w:eastAsia="Times New Roman" w:hAnsi="Times New Roman" w:cs="Times New Roman"/>
      <w:sz w:val="24"/>
      <w:szCs w:val="24"/>
      <w:lang w:val="ro-RO"/>
    </w:rPr>
  </w:style>
  <w:style w:type="character" w:customStyle="1" w:styleId="Heading7Char">
    <w:name w:val="Heading 7 Char"/>
    <w:basedOn w:val="DefaultParagraphFont"/>
    <w:link w:val="Heading7"/>
    <w:rsid w:val="0034559D"/>
    <w:rPr>
      <w:rFonts w:ascii="Times New Roman" w:eastAsia="Calibri" w:hAnsi="Times New Roman"/>
      <w:sz w:val="24"/>
      <w:szCs w:val="24"/>
      <w:lang w:val="ro-RO"/>
    </w:rPr>
  </w:style>
  <w:style w:type="character" w:customStyle="1" w:styleId="rvts7">
    <w:name w:val="rvts7"/>
    <w:basedOn w:val="DefaultParagraphFont"/>
    <w:rsid w:val="00006906"/>
  </w:style>
  <w:style w:type="paragraph" w:customStyle="1" w:styleId="Char">
    <w:name w:val="Char"/>
    <w:basedOn w:val="Normal"/>
    <w:rsid w:val="00122520"/>
    <w:pPr>
      <w:spacing w:after="0" w:line="240" w:lineRule="auto"/>
      <w:ind w:left="0"/>
      <w:jc w:val="left"/>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unhideWhenUsed/>
    <w:rsid w:val="00A20388"/>
    <w:pPr>
      <w:spacing w:line="480" w:lineRule="auto"/>
      <w:ind w:left="283"/>
    </w:pPr>
  </w:style>
  <w:style w:type="character" w:customStyle="1" w:styleId="BodyTextIndent2Char">
    <w:name w:val="Body Text Indent 2 Char"/>
    <w:basedOn w:val="DefaultParagraphFont"/>
    <w:link w:val="BodyTextIndent2"/>
    <w:rsid w:val="00A20388"/>
    <w:rPr>
      <w:rFonts w:ascii="Trebuchet MS" w:hAnsi="Trebuchet MS" w:cs="Trebuchet MS"/>
    </w:rPr>
  </w:style>
  <w:style w:type="paragraph" w:styleId="BodyTextIndent">
    <w:name w:val="Body Text Indent"/>
    <w:basedOn w:val="Normal"/>
    <w:link w:val="BodyTextIndentChar"/>
    <w:unhideWhenUsed/>
    <w:rsid w:val="00A20388"/>
    <w:pPr>
      <w:ind w:left="283"/>
    </w:pPr>
  </w:style>
  <w:style w:type="character" w:customStyle="1" w:styleId="BodyTextIndentChar">
    <w:name w:val="Body Text Indent Char"/>
    <w:basedOn w:val="DefaultParagraphFont"/>
    <w:link w:val="BodyTextIndent"/>
    <w:rsid w:val="00A20388"/>
    <w:rPr>
      <w:rFonts w:ascii="Trebuchet MS" w:hAnsi="Trebuchet MS" w:cs="Trebuchet MS"/>
    </w:rPr>
  </w:style>
  <w:style w:type="character" w:customStyle="1" w:styleId="apple-converted-space">
    <w:name w:val="apple-converted-space"/>
    <w:basedOn w:val="DefaultParagraphFont"/>
    <w:rsid w:val="00284D1F"/>
  </w:style>
  <w:style w:type="character" w:customStyle="1" w:styleId="panchor">
    <w:name w:val="panchor"/>
    <w:basedOn w:val="DefaultParagraphFont"/>
    <w:rsid w:val="00284D1F"/>
  </w:style>
  <w:style w:type="character" w:customStyle="1" w:styleId="rvts8">
    <w:name w:val="rvts8"/>
    <w:basedOn w:val="DefaultParagraphFont"/>
    <w:rsid w:val="00796BFA"/>
  </w:style>
  <w:style w:type="character" w:customStyle="1" w:styleId="rvts5">
    <w:name w:val="rvts5"/>
    <w:basedOn w:val="DefaultParagraphFont"/>
    <w:rsid w:val="00034FE2"/>
  </w:style>
  <w:style w:type="paragraph" w:customStyle="1" w:styleId="default0">
    <w:name w:val="default"/>
    <w:basedOn w:val="Normal"/>
    <w:rsid w:val="0099224B"/>
    <w:pPr>
      <w:spacing w:before="100" w:beforeAutospacing="1" w:after="100" w:afterAutospacing="1" w:line="240" w:lineRule="auto"/>
      <w:ind w:left="0"/>
      <w:jc w:val="left"/>
    </w:pPr>
    <w:rPr>
      <w:rFonts w:ascii="Times New Roman" w:eastAsiaTheme="minorHAnsi" w:hAnsi="Times New Roman" w:cs="Times New Roman"/>
      <w:sz w:val="24"/>
      <w:szCs w:val="24"/>
      <w:lang w:val="ro-RO" w:eastAsia="ro-RO"/>
    </w:rPr>
  </w:style>
  <w:style w:type="character" w:customStyle="1" w:styleId="Heading9Char">
    <w:name w:val="Heading 9 Char"/>
    <w:basedOn w:val="DefaultParagraphFont"/>
    <w:link w:val="Heading9"/>
    <w:semiHidden/>
    <w:rsid w:val="00812F2B"/>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812F2B"/>
    <w:pPr>
      <w:ind w:left="283"/>
    </w:pPr>
    <w:rPr>
      <w:sz w:val="16"/>
      <w:szCs w:val="16"/>
    </w:rPr>
  </w:style>
  <w:style w:type="character" w:customStyle="1" w:styleId="BodyTextIndent3Char">
    <w:name w:val="Body Text Indent 3 Char"/>
    <w:basedOn w:val="DefaultParagraphFont"/>
    <w:link w:val="BodyTextIndent3"/>
    <w:uiPriority w:val="99"/>
    <w:semiHidden/>
    <w:rsid w:val="00812F2B"/>
    <w:rPr>
      <w:rFonts w:ascii="Trebuchet MS" w:hAnsi="Trebuchet MS" w:cs="Trebuchet MS"/>
      <w:sz w:val="16"/>
      <w:szCs w:val="16"/>
    </w:rPr>
  </w:style>
  <w:style w:type="character" w:customStyle="1" w:styleId="Heading6Char">
    <w:name w:val="Heading 6 Char"/>
    <w:basedOn w:val="DefaultParagraphFont"/>
    <w:link w:val="Heading6"/>
    <w:rsid w:val="00812F2B"/>
    <w:rPr>
      <w:rFonts w:ascii="Times New Roman" w:eastAsia="Times New Roman" w:hAnsi="Times New Roman"/>
      <w:b/>
      <w:bCs/>
      <w:lang w:val="ro-RO" w:eastAsia="ro-RO"/>
    </w:rPr>
  </w:style>
  <w:style w:type="character" w:customStyle="1" w:styleId="Heading8Char">
    <w:name w:val="Heading 8 Char"/>
    <w:basedOn w:val="DefaultParagraphFont"/>
    <w:link w:val="Heading8"/>
    <w:rsid w:val="00812F2B"/>
    <w:rPr>
      <w:rFonts w:ascii="Times New Roman" w:eastAsia="Times New Roman" w:hAnsi="Times New Roman"/>
      <w:i/>
      <w:iCs/>
      <w:sz w:val="24"/>
      <w:szCs w:val="24"/>
      <w:lang w:val="ro-RO" w:eastAsia="ro-RO"/>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812F2B"/>
    <w:pPr>
      <w:spacing w:after="0" w:line="240" w:lineRule="auto"/>
      <w:ind w:left="0"/>
      <w:jc w:val="left"/>
    </w:pPr>
    <w:rPr>
      <w:rFonts w:ascii="Times New Roman" w:eastAsia="Times New Roman" w:hAnsi="Times New Roman" w:cs="Times New Roman"/>
      <w:sz w:val="24"/>
      <w:szCs w:val="24"/>
      <w:lang w:val="pl-PL" w:eastAsia="pl-PL"/>
    </w:rPr>
  </w:style>
  <w:style w:type="paragraph" w:customStyle="1" w:styleId="BodyTextIndent21">
    <w:name w:val="Body Text Indent 21"/>
    <w:basedOn w:val="Normal"/>
    <w:rsid w:val="00812F2B"/>
    <w:pPr>
      <w:widowControl w:val="0"/>
      <w:tabs>
        <w:tab w:val="left" w:pos="567"/>
        <w:tab w:val="left" w:pos="851"/>
        <w:tab w:val="left" w:pos="1134"/>
        <w:tab w:val="left" w:pos="1418"/>
      </w:tabs>
      <w:overflowPunct w:val="0"/>
      <w:autoSpaceDE w:val="0"/>
      <w:autoSpaceDN w:val="0"/>
      <w:adjustRightInd w:val="0"/>
      <w:spacing w:after="0" w:line="288" w:lineRule="auto"/>
      <w:ind w:left="1418"/>
      <w:textAlignment w:val="baseline"/>
    </w:pPr>
    <w:rPr>
      <w:rFonts w:ascii="Horn W" w:eastAsia="SimSun" w:hAnsi="Horn W" w:cs="Times New Roman"/>
      <w:noProof/>
      <w:sz w:val="24"/>
      <w:szCs w:val="20"/>
      <w:lang w:eastAsia="ro-RO"/>
    </w:rPr>
  </w:style>
  <w:style w:type="paragraph" w:customStyle="1" w:styleId="BodyText21">
    <w:name w:val="Body Text 21"/>
    <w:basedOn w:val="Normal"/>
    <w:rsid w:val="00812F2B"/>
    <w:pPr>
      <w:widowControl w:val="0"/>
      <w:tabs>
        <w:tab w:val="left" w:pos="851"/>
      </w:tabs>
      <w:overflowPunct w:val="0"/>
      <w:autoSpaceDE w:val="0"/>
      <w:autoSpaceDN w:val="0"/>
      <w:adjustRightInd w:val="0"/>
      <w:spacing w:after="0" w:line="288" w:lineRule="auto"/>
      <w:ind w:left="0"/>
      <w:jc w:val="center"/>
      <w:textAlignment w:val="baseline"/>
    </w:pPr>
    <w:rPr>
      <w:rFonts w:ascii="Horn W" w:eastAsia="SimSun" w:hAnsi="Horn W" w:cs="Times New Roman"/>
      <w:noProof/>
      <w:sz w:val="24"/>
      <w:szCs w:val="20"/>
      <w:lang w:eastAsia="ro-RO"/>
    </w:rPr>
  </w:style>
  <w:style w:type="character" w:styleId="CommentReference">
    <w:name w:val="annotation reference"/>
    <w:semiHidden/>
    <w:rsid w:val="00812F2B"/>
    <w:rPr>
      <w:sz w:val="16"/>
      <w:szCs w:val="16"/>
    </w:rPr>
  </w:style>
  <w:style w:type="paragraph" w:styleId="CommentText">
    <w:name w:val="annotation text"/>
    <w:basedOn w:val="Normal"/>
    <w:link w:val="CommentTextChar"/>
    <w:semiHidden/>
    <w:rsid w:val="00812F2B"/>
    <w:pPr>
      <w:spacing w:after="0" w:line="240" w:lineRule="auto"/>
      <w:ind w:left="0"/>
      <w:jc w:val="left"/>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semiHidden/>
    <w:rsid w:val="00812F2B"/>
    <w:rPr>
      <w:rFonts w:ascii="Times New Roman" w:eastAsia="Times New Roman" w:hAnsi="Times New Roman"/>
      <w:sz w:val="20"/>
      <w:szCs w:val="20"/>
      <w:lang w:val="ro-RO" w:eastAsia="ro-RO"/>
    </w:rPr>
  </w:style>
  <w:style w:type="paragraph" w:styleId="CommentSubject">
    <w:name w:val="annotation subject"/>
    <w:basedOn w:val="CommentText"/>
    <w:next w:val="CommentText"/>
    <w:link w:val="CommentSubjectChar"/>
    <w:semiHidden/>
    <w:rsid w:val="00812F2B"/>
    <w:rPr>
      <w:b/>
      <w:bCs/>
    </w:rPr>
  </w:style>
  <w:style w:type="character" w:customStyle="1" w:styleId="CommentSubjectChar">
    <w:name w:val="Comment Subject Char"/>
    <w:basedOn w:val="CommentTextChar"/>
    <w:link w:val="CommentSubject"/>
    <w:semiHidden/>
    <w:rsid w:val="00812F2B"/>
    <w:rPr>
      <w:rFonts w:ascii="Times New Roman" w:eastAsia="Times New Roman" w:hAnsi="Times New Roman"/>
      <w:b/>
      <w:bCs/>
      <w:sz w:val="20"/>
      <w:szCs w:val="20"/>
      <w:lang w:val="ro-RO" w:eastAsia="ro-RO"/>
    </w:rPr>
  </w:style>
  <w:style w:type="character" w:customStyle="1" w:styleId="ln2paragraf1">
    <w:name w:val="ln2paragraf1"/>
    <w:rsid w:val="00812F2B"/>
    <w:rPr>
      <w:b/>
      <w:bCs/>
    </w:rPr>
  </w:style>
  <w:style w:type="character" w:customStyle="1" w:styleId="ln2tparagraf">
    <w:name w:val="ln2tparagraf"/>
    <w:basedOn w:val="DefaultParagraphFont"/>
    <w:rsid w:val="00812F2B"/>
  </w:style>
  <w:style w:type="paragraph" w:customStyle="1" w:styleId="FR2">
    <w:name w:val="FR2"/>
    <w:rsid w:val="00812F2B"/>
    <w:pPr>
      <w:widowControl w:val="0"/>
      <w:overflowPunct w:val="0"/>
      <w:autoSpaceDE w:val="0"/>
      <w:autoSpaceDN w:val="0"/>
      <w:adjustRightInd w:val="0"/>
      <w:ind w:left="1000"/>
      <w:textAlignment w:val="baseline"/>
    </w:pPr>
    <w:rPr>
      <w:rFonts w:ascii="Arial" w:eastAsia="SimSun" w:hAnsi="Arial"/>
      <w:sz w:val="16"/>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8392">
      <w:bodyDiv w:val="1"/>
      <w:marLeft w:val="0"/>
      <w:marRight w:val="0"/>
      <w:marTop w:val="0"/>
      <w:marBottom w:val="0"/>
      <w:divBdr>
        <w:top w:val="none" w:sz="0" w:space="0" w:color="auto"/>
        <w:left w:val="none" w:sz="0" w:space="0" w:color="auto"/>
        <w:bottom w:val="none" w:sz="0" w:space="0" w:color="auto"/>
        <w:right w:val="none" w:sz="0" w:space="0" w:color="auto"/>
      </w:divBdr>
    </w:div>
    <w:div w:id="1505169613">
      <w:bodyDiv w:val="1"/>
      <w:marLeft w:val="0"/>
      <w:marRight w:val="0"/>
      <w:marTop w:val="0"/>
      <w:marBottom w:val="0"/>
      <w:divBdr>
        <w:top w:val="none" w:sz="0" w:space="0" w:color="auto"/>
        <w:left w:val="none" w:sz="0" w:space="0" w:color="auto"/>
        <w:bottom w:val="none" w:sz="0" w:space="0" w:color="auto"/>
        <w:right w:val="none" w:sz="0" w:space="0" w:color="auto"/>
      </w:divBdr>
    </w:div>
    <w:div w:id="1644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97A4-6EB7-44B1-B35D-023E96AF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2013</Words>
  <Characters>11480</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MDLPL</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Ana Maria Catruna</cp:lastModifiedBy>
  <cp:revision>16</cp:revision>
  <cp:lastPrinted>2016-12-06T10:22:00Z</cp:lastPrinted>
  <dcterms:created xsi:type="dcterms:W3CDTF">2018-06-14T05:58:00Z</dcterms:created>
  <dcterms:modified xsi:type="dcterms:W3CDTF">2018-08-07T09:10:00Z</dcterms:modified>
</cp:coreProperties>
</file>